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both"/>
        <w:rPr>
          <w:rFonts w:ascii="Times New Roman" w:hAnsi="Times New Roman" w:eastAsia="宋体" w:cs="Times New Roman"/>
          <w:i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2：                             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DBY-22-JLYP-00</w:t>
      </w:r>
      <w:r>
        <w:rPr>
          <w:rFonts w:ascii="Times New Roman" w:hAnsi="Times New Roman" w:eastAsia="宋体" w:cs="Times New Roman"/>
          <w:iCs/>
          <w:color w:val="000000"/>
          <w:sz w:val="24"/>
        </w:rPr>
        <w:t>2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-202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</w:p>
    <w:p>
      <w:pPr>
        <w:spacing w:line="288" w:lineRule="auto"/>
        <w:jc w:val="center"/>
        <w:rPr>
          <w:rFonts w:ascii="Times New Roman" w:hAnsi="Times New Roman" w:eastAsia="宋体"/>
          <w:sz w:val="24"/>
        </w:rPr>
      </w:pPr>
    </w:p>
    <w:p>
      <w:pPr>
        <w:spacing w:line="288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石  楠 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</w:rPr>
        <w:t>Shin</w:t>
      </w:r>
      <w:r>
        <w:rPr>
          <w:rFonts w:hint="eastAsia"/>
          <w:lang w:val="en-US" w:eastAsia="zh-CN"/>
        </w:rPr>
        <w:t>an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Times New Roman" w:hAnsi="Times New Roman" w:cs="Times New Roman"/>
        </w:rPr>
      </w:pPr>
    </w:p>
    <w:p>
      <w:pPr>
        <w:spacing w:line="288" w:lineRule="auto"/>
        <w:ind w:firstLine="480" w:firstLineChars="200"/>
        <w:rPr>
          <w:sz w:val="24"/>
        </w:rPr>
      </w:pPr>
      <w:r>
        <w:rPr>
          <w:sz w:val="24"/>
        </w:rPr>
        <w:t>本品为蔷薇科植物石楠</w:t>
      </w:r>
      <w:r>
        <w:rPr>
          <w:i/>
          <w:iCs/>
          <w:sz w:val="24"/>
        </w:rPr>
        <w:t xml:space="preserve"> Photinia serrulata </w:t>
      </w:r>
      <w:r>
        <w:rPr>
          <w:sz w:val="24"/>
        </w:rPr>
        <w:t>Lindl.干燥带叶茎枝</w:t>
      </w:r>
      <w:r>
        <w:rPr>
          <w:rFonts w:hint="eastAsia"/>
          <w:sz w:val="24"/>
        </w:rPr>
        <w:t>的加工炮制品</w:t>
      </w:r>
      <w:r>
        <w:rPr>
          <w:sz w:val="24"/>
        </w:rPr>
        <w:t>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【炮制】</w:t>
      </w:r>
      <w:r>
        <w:rPr>
          <w:rFonts w:hint="eastAsia" w:ascii="黑体" w:hAnsi="黑体" w:eastAsia="黑体" w:cs="黑体"/>
          <w:b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取原药材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除去杂质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hint="eastAsia" w:cs="Times New Roman"/>
          <w:sz w:val="24"/>
        </w:rPr>
        <w:t>淋洗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润透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切段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干燥。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【性状】</w:t>
      </w:r>
      <w:r>
        <w:rPr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本品为不规则段</w:t>
      </w:r>
      <w:r>
        <w:rPr>
          <w:rFonts w:hint="eastAsia" w:cs="Times New Roman"/>
          <w:sz w:val="24"/>
        </w:rPr>
        <w:t>。</w:t>
      </w:r>
      <w:r>
        <w:rPr>
          <w:rFonts w:hint="eastAsia"/>
          <w:sz w:val="24"/>
        </w:rPr>
        <w:t>茎呈</w:t>
      </w:r>
      <w:r>
        <w:rPr>
          <w:sz w:val="24"/>
        </w:rPr>
        <w:t>圆柱形</w:t>
      </w:r>
      <w:r>
        <w:rPr>
          <w:rFonts w:hint="eastAsia" w:cs="Times New Roman"/>
          <w:sz w:val="24"/>
        </w:rPr>
        <w:t>，</w:t>
      </w:r>
      <w:r>
        <w:rPr>
          <w:sz w:val="24"/>
        </w:rPr>
        <w:t>表面</w:t>
      </w:r>
      <w:r>
        <w:rPr>
          <w:rFonts w:hint="eastAsia"/>
          <w:sz w:val="24"/>
        </w:rPr>
        <w:t>灰褐色或</w:t>
      </w:r>
      <w:r>
        <w:rPr>
          <w:sz w:val="24"/>
        </w:rPr>
        <w:t>灰棕</w:t>
      </w:r>
      <w:r>
        <w:rPr>
          <w:rFonts w:hint="eastAsia"/>
          <w:sz w:val="24"/>
        </w:rPr>
        <w:t>色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直径</w:t>
      </w:r>
      <w:r>
        <w:rPr>
          <w:rFonts w:hint="eastAsia"/>
          <w:sz w:val="24"/>
        </w:rPr>
        <w:t>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/>
          <w:sz w:val="24"/>
        </w:rPr>
        <w:t>1</w:t>
      </w:r>
      <w:r>
        <w:rPr>
          <w:rFonts w:hint="eastAsia" w:cs="Times New Roman"/>
          <w:sz w:val="24"/>
        </w:rPr>
        <w:t>～</w:t>
      </w:r>
      <w:r>
        <w:rPr>
          <w:rFonts w:hint="eastAsia"/>
          <w:sz w:val="24"/>
        </w:rPr>
        <w:t>0.8cm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有点状皮孔</w:t>
      </w:r>
      <w:r>
        <w:rPr>
          <w:sz w:val="24"/>
        </w:rPr>
        <w:t>及纵皱</w:t>
      </w:r>
      <w:r>
        <w:rPr>
          <w:rFonts w:hint="eastAsia" w:ascii="Times New Roman" w:hAnsi="Times New Roman" w:cs="Times New Roman"/>
          <w:sz w:val="24"/>
        </w:rPr>
        <w:t>。</w:t>
      </w:r>
      <w:r>
        <w:rPr>
          <w:rFonts w:ascii="Times New Roman" w:hAnsi="Times New Roman" w:eastAsia="宋体" w:cs="Times New Roman"/>
          <w:sz w:val="24"/>
        </w:rPr>
        <w:t>叶上表面为浅棕色</w:t>
      </w:r>
      <w:r>
        <w:rPr>
          <w:rFonts w:hint="eastAsia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下表面灰棕色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sz w:val="24"/>
        </w:rPr>
        <w:t>边缘具细密锯齿</w:t>
      </w:r>
      <w:r>
        <w:rPr>
          <w:rFonts w:hint="eastAsia"/>
          <w:sz w:val="24"/>
        </w:rPr>
        <w:t>，</w:t>
      </w:r>
      <w:r>
        <w:rPr>
          <w:sz w:val="24"/>
        </w:rPr>
        <w:t>质坚脆，易碎</w:t>
      </w:r>
      <w:r>
        <w:rPr>
          <w:rFonts w:hint="eastAsia"/>
          <w:sz w:val="24"/>
        </w:rPr>
        <w:t>。</w:t>
      </w:r>
      <w:r>
        <w:rPr>
          <w:sz w:val="24"/>
        </w:rPr>
        <w:t>气微，茎微苦，叶微涩。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【鉴别】 </w:t>
      </w:r>
      <w:r>
        <w:rPr>
          <w:sz w:val="24"/>
          <w:lang w:val="en-GB"/>
        </w:rPr>
        <w:t>（1）</w:t>
      </w:r>
      <w:r>
        <w:rPr>
          <w:rFonts w:hint="eastAsia"/>
          <w:sz w:val="24"/>
        </w:rPr>
        <w:t>本品</w:t>
      </w:r>
      <w:r>
        <w:rPr>
          <w:rFonts w:ascii="Times New Roman" w:hAnsi="Times New Roman" w:eastAsia="宋体" w:cs="Times New Roman"/>
          <w:sz w:val="24"/>
        </w:rPr>
        <w:t>粉末棕色</w:t>
      </w:r>
      <w:r>
        <w:rPr>
          <w:rFonts w:hint="eastAsia" w:ascii="Times New Roman" w:hAnsi="Times New Roman" w:eastAsia="宋体" w:cs="Times New Roman"/>
          <w:sz w:val="24"/>
        </w:rPr>
        <w:t>。叶表皮细胞多角形，无色，壁略增厚，气孔不定式。茎下皮细胞表面观长方形，侧面观壁增厚明显，不均匀，内含棕色物。</w:t>
      </w:r>
      <w:r>
        <w:rPr>
          <w:rFonts w:ascii="Times New Roman" w:hAnsi="Times New Roman" w:eastAsia="宋体" w:cs="Times New Roman"/>
          <w:sz w:val="24"/>
        </w:rPr>
        <w:t>纤维众多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无色或淡黄色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多成束</w:t>
      </w:r>
      <w:r>
        <w:rPr>
          <w:rFonts w:hint="eastAsia" w:ascii="Times New Roman" w:hAnsi="Times New Roman" w:eastAsia="宋体" w:cs="Times New Roman"/>
          <w:sz w:val="24"/>
        </w:rPr>
        <w:t>，壁厚，多碎断，</w:t>
      </w:r>
      <w:r>
        <w:rPr>
          <w:rFonts w:ascii="Times New Roman" w:hAnsi="Times New Roman" w:eastAsia="宋体" w:cs="Times New Roman"/>
          <w:sz w:val="24"/>
        </w:rPr>
        <w:t>直径约13μm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周围薄壁细胞内含有草酸钙方晶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形成晶纤维</w:t>
      </w:r>
      <w:r>
        <w:rPr>
          <w:rFonts w:hint="eastAsia" w:ascii="Times New Roman" w:hAnsi="Times New Roman" w:eastAsia="宋体" w:cs="Times New Roman"/>
          <w:sz w:val="24"/>
        </w:rPr>
        <w:t>。</w:t>
      </w:r>
      <w:r>
        <w:rPr>
          <w:rFonts w:ascii="Times New Roman" w:hAnsi="Times New Roman" w:eastAsia="宋体" w:cs="Times New Roman"/>
          <w:sz w:val="24"/>
        </w:rPr>
        <w:t>木薄壁细胞长方形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壁增厚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木化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纹孔明显</w:t>
      </w:r>
      <w:r>
        <w:rPr>
          <w:rFonts w:hint="eastAsia" w:ascii="Times New Roman" w:hAnsi="Times New Roman" w:eastAsia="宋体" w:cs="Times New Roman"/>
          <w:sz w:val="24"/>
        </w:rPr>
        <w:t>。叶肉组织和茎薄壁细胞均含草酸钙簇晶和方晶，</w:t>
      </w:r>
      <w:r>
        <w:rPr>
          <w:rFonts w:ascii="Times New Roman" w:hAnsi="Times New Roman" w:eastAsia="宋体" w:cs="Times New Roman"/>
          <w:sz w:val="24"/>
        </w:rPr>
        <w:t>草酸钙方晶直径7</w:t>
      </w:r>
      <w:r>
        <w:rPr>
          <w:rFonts w:hint="eastAsia" w:cs="Times New Roman"/>
          <w:sz w:val="24"/>
        </w:rPr>
        <w:t>～</w:t>
      </w:r>
      <w:r>
        <w:rPr>
          <w:rFonts w:ascii="Times New Roman" w:hAnsi="Times New Roman" w:eastAsia="宋体" w:cs="Times New Roman"/>
          <w:sz w:val="24"/>
        </w:rPr>
        <w:t>30μm</w:t>
      </w:r>
      <w:r>
        <w:rPr>
          <w:rFonts w:hint="eastAsia" w:ascii="Times New Roman" w:hAnsi="Times New Roman" w:eastAsia="宋体" w:cs="Times New Roman"/>
          <w:sz w:val="24"/>
        </w:rPr>
        <w:t>。</w:t>
      </w:r>
      <w:r>
        <w:rPr>
          <w:rFonts w:ascii="Times New Roman" w:hAnsi="Times New Roman" w:eastAsia="宋体" w:cs="Times New Roman"/>
          <w:sz w:val="24"/>
        </w:rPr>
        <w:t>草酸钙</w:t>
      </w:r>
      <w:r>
        <w:rPr>
          <w:rFonts w:hint="eastAsia" w:ascii="Times New Roman" w:hAnsi="Times New Roman" w:eastAsia="宋体" w:cs="Times New Roman"/>
          <w:sz w:val="24"/>
        </w:rPr>
        <w:t>簇</w:t>
      </w:r>
      <w:r>
        <w:rPr>
          <w:rFonts w:ascii="Times New Roman" w:hAnsi="Times New Roman" w:eastAsia="宋体" w:cs="Times New Roman"/>
          <w:sz w:val="24"/>
        </w:rPr>
        <w:t>晶直径16</w:t>
      </w:r>
      <w:r>
        <w:rPr>
          <w:rFonts w:hint="eastAsia" w:cs="Times New Roman"/>
          <w:sz w:val="24"/>
        </w:rPr>
        <w:t>～</w:t>
      </w:r>
      <w:r>
        <w:rPr>
          <w:rFonts w:ascii="Times New Roman" w:hAnsi="Times New Roman" w:eastAsia="宋体" w:cs="Times New Roman"/>
          <w:sz w:val="24"/>
        </w:rPr>
        <w:t>33μm</w:t>
      </w:r>
      <w:r>
        <w:rPr>
          <w:rFonts w:hint="eastAsia" w:ascii="Times New Roman" w:hAnsi="Times New Roman" w:eastAsia="宋体" w:cs="Times New Roman"/>
          <w:sz w:val="24"/>
        </w:rPr>
        <w:t>。</w:t>
      </w:r>
      <w:r>
        <w:rPr>
          <w:rFonts w:ascii="Times New Roman" w:hAnsi="Times New Roman" w:eastAsia="宋体" w:cs="Times New Roman"/>
          <w:sz w:val="24"/>
        </w:rPr>
        <w:t>导管多为螺纹导管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>
      <w:pPr>
        <w:numPr>
          <w:ilvl w:val="0"/>
          <w:numId w:val="1"/>
        </w:numPr>
        <w:spacing w:line="288" w:lineRule="auto"/>
        <w:ind w:firstLine="480" w:firstLineChars="200"/>
        <w:rPr>
          <w:sz w:val="24"/>
          <w:lang w:val="en-GB"/>
        </w:rPr>
      </w:pPr>
      <w:r>
        <w:rPr>
          <w:sz w:val="24"/>
        </w:rPr>
        <w:t>取本品粉末2g，置具塞锥形瓶中，加石油醚</w:t>
      </w:r>
      <w:r>
        <w:rPr>
          <w:rFonts w:hint="eastAsia"/>
          <w:sz w:val="24"/>
        </w:rPr>
        <w:t>（60</w:t>
      </w:r>
      <w:r>
        <w:rPr>
          <w:rFonts w:hint="eastAsia" w:cs="Times New Roman"/>
          <w:sz w:val="24"/>
        </w:rPr>
        <w:t>～</w:t>
      </w:r>
      <w:r>
        <w:rPr>
          <w:rFonts w:hint="eastAsia"/>
          <w:sz w:val="24"/>
        </w:rPr>
        <w:t>90℃）</w:t>
      </w:r>
      <w:r>
        <w:rPr>
          <w:sz w:val="24"/>
        </w:rPr>
        <w:t>30ml，超声</w:t>
      </w:r>
      <w:r>
        <w:rPr>
          <w:rFonts w:hint="eastAsia"/>
          <w:sz w:val="24"/>
        </w:rPr>
        <w:t>处理15分钟</w:t>
      </w:r>
      <w:r>
        <w:rPr>
          <w:sz w:val="24"/>
        </w:rPr>
        <w:t>，滤过，</w:t>
      </w:r>
      <w:r>
        <w:rPr>
          <w:rFonts w:hint="eastAsia"/>
          <w:sz w:val="24"/>
        </w:rPr>
        <w:t>弃去滤液，</w:t>
      </w:r>
      <w:r>
        <w:rPr>
          <w:sz w:val="24"/>
        </w:rPr>
        <w:t>滤渣挥干</w:t>
      </w:r>
      <w:r>
        <w:rPr>
          <w:rFonts w:hint="eastAsia"/>
          <w:sz w:val="24"/>
        </w:rPr>
        <w:t>，</w:t>
      </w:r>
      <w:r>
        <w:rPr>
          <w:sz w:val="24"/>
        </w:rPr>
        <w:t>加乙酸乙酯20ml，超声</w:t>
      </w:r>
      <w:r>
        <w:rPr>
          <w:rFonts w:hint="eastAsia"/>
          <w:sz w:val="24"/>
        </w:rPr>
        <w:t>处理15分钟</w:t>
      </w:r>
      <w:r>
        <w:rPr>
          <w:sz w:val="24"/>
        </w:rPr>
        <w:t>，滤过，</w:t>
      </w:r>
      <w:r>
        <w:rPr>
          <w:rFonts w:hint="eastAsia"/>
          <w:sz w:val="24"/>
        </w:rPr>
        <w:t>滤液</w:t>
      </w:r>
      <w:r>
        <w:rPr>
          <w:sz w:val="24"/>
        </w:rPr>
        <w:t>蒸干，</w:t>
      </w:r>
      <w:r>
        <w:rPr>
          <w:rFonts w:hint="eastAsia"/>
          <w:sz w:val="24"/>
        </w:rPr>
        <w:t>残渣加</w:t>
      </w:r>
      <w:r>
        <w:rPr>
          <w:sz w:val="24"/>
        </w:rPr>
        <w:t>甲醇</w:t>
      </w:r>
      <w:r>
        <w:rPr>
          <w:rFonts w:hint="eastAsia"/>
          <w:sz w:val="24"/>
        </w:rPr>
        <w:t>2</w:t>
      </w:r>
      <w:r>
        <w:rPr>
          <w:sz w:val="24"/>
        </w:rPr>
        <w:t>ml</w:t>
      </w:r>
      <w:r>
        <w:rPr>
          <w:rFonts w:hint="eastAsia"/>
          <w:sz w:val="24"/>
        </w:rPr>
        <w:t>使</w:t>
      </w:r>
      <w:r>
        <w:rPr>
          <w:sz w:val="24"/>
        </w:rPr>
        <w:t>溶解</w:t>
      </w:r>
      <w:r>
        <w:rPr>
          <w:rFonts w:hint="eastAsia"/>
          <w:sz w:val="24"/>
        </w:rPr>
        <w:t>，</w:t>
      </w:r>
      <w:r>
        <w:rPr>
          <w:sz w:val="24"/>
        </w:rPr>
        <w:t>作为供试品溶液。</w:t>
      </w:r>
      <w:r>
        <w:rPr>
          <w:sz w:val="24"/>
          <w:lang w:val="en-GB"/>
        </w:rPr>
        <w:t>另取</w:t>
      </w:r>
      <w:r>
        <w:rPr>
          <w:rFonts w:hint="eastAsia"/>
          <w:sz w:val="24"/>
        </w:rPr>
        <w:t>石楠</w:t>
      </w:r>
      <w:r>
        <w:rPr>
          <w:sz w:val="24"/>
          <w:lang w:val="en-GB"/>
        </w:rPr>
        <w:t>对照药材</w:t>
      </w:r>
      <w:r>
        <w:rPr>
          <w:sz w:val="24"/>
        </w:rPr>
        <w:t>2</w:t>
      </w:r>
      <w:r>
        <w:rPr>
          <w:sz w:val="24"/>
          <w:lang w:val="en-GB"/>
        </w:rPr>
        <w:t>g，同法制成对照药材溶液。再</w:t>
      </w:r>
      <w:r>
        <w:rPr>
          <w:sz w:val="24"/>
        </w:rPr>
        <w:t>取齐墩果酸对照品，加</w:t>
      </w:r>
      <w:r>
        <w:rPr>
          <w:sz w:val="24"/>
          <w:lang w:val="en-GB"/>
        </w:rPr>
        <w:t>甲醇制成每1ml含0</w:t>
      </w:r>
      <w:r>
        <w:rPr>
          <w:rFonts w:hint="eastAsia" w:ascii="宋体" w:hAnsi="宋体" w:eastAsia="宋体" w:cs="宋体"/>
          <w:sz w:val="24"/>
          <w:lang w:val="en-GB"/>
        </w:rPr>
        <w:t>.</w:t>
      </w:r>
      <w:r>
        <w:rPr>
          <w:sz w:val="24"/>
          <w:lang w:val="en-GB"/>
        </w:rPr>
        <w:t>5mg的溶液，作为对照品溶液。照薄层色谱法（《中国药典》20</w:t>
      </w:r>
      <w:r>
        <w:rPr>
          <w:sz w:val="24"/>
        </w:rPr>
        <w:t>20</w:t>
      </w:r>
      <w:r>
        <w:rPr>
          <w:sz w:val="24"/>
          <w:lang w:val="en-GB"/>
        </w:rPr>
        <w:t>年版四部通则0502）</w:t>
      </w:r>
      <w:r>
        <w:rPr>
          <w:sz w:val="24"/>
        </w:rPr>
        <w:t>试验，吸取上述</w:t>
      </w:r>
      <w:r>
        <w:rPr>
          <w:rFonts w:hint="eastAsia"/>
          <w:sz w:val="24"/>
        </w:rPr>
        <w:t>三</w:t>
      </w:r>
      <w:r>
        <w:rPr>
          <w:sz w:val="24"/>
        </w:rPr>
        <w:t>种溶液各</w:t>
      </w:r>
      <w:r>
        <w:rPr>
          <w:rFonts w:hint="eastAsia"/>
          <w:sz w:val="24"/>
        </w:rPr>
        <w:t>3</w:t>
      </w:r>
      <w:r>
        <w:rPr>
          <w:rFonts w:hint="eastAsia" w:cs="Times New Roman"/>
          <w:sz w:val="24"/>
        </w:rPr>
        <w:t>～</w:t>
      </w:r>
      <w:r>
        <w:rPr>
          <w:sz w:val="24"/>
        </w:rPr>
        <w:t>5μl，分别点于同一硅胶GF</w:t>
      </w:r>
      <w:r>
        <w:rPr>
          <w:sz w:val="24"/>
          <w:vertAlign w:val="subscript"/>
        </w:rPr>
        <w:t>254</w:t>
      </w:r>
      <w:r>
        <w:rPr>
          <w:sz w:val="24"/>
        </w:rPr>
        <w:t>高效薄层板上，随即浸入1%碘-二氯甲烷溶液中</w:t>
      </w:r>
      <w:r>
        <w:rPr>
          <w:rFonts w:hint="eastAsia"/>
          <w:sz w:val="24"/>
        </w:rPr>
        <w:t>使溶液刚浸过原点</w:t>
      </w:r>
      <w:r>
        <w:rPr>
          <w:sz w:val="24"/>
        </w:rPr>
        <w:t>，迅速取出，立即用玻璃板履盖</w:t>
      </w:r>
      <w:r>
        <w:rPr>
          <w:rFonts w:hint="eastAsia"/>
          <w:sz w:val="24"/>
        </w:rPr>
        <w:t>，30分钟</w:t>
      </w:r>
      <w:r>
        <w:rPr>
          <w:sz w:val="24"/>
        </w:rPr>
        <w:t>后取下</w:t>
      </w:r>
      <w:r>
        <w:rPr>
          <w:rFonts w:hint="eastAsia"/>
          <w:sz w:val="24"/>
        </w:rPr>
        <w:t>玻璃</w:t>
      </w:r>
      <w:r>
        <w:rPr>
          <w:sz w:val="24"/>
        </w:rPr>
        <w:t>板，挥</w:t>
      </w:r>
      <w:r>
        <w:rPr>
          <w:rFonts w:hint="eastAsia"/>
          <w:sz w:val="24"/>
        </w:rPr>
        <w:t>干溶剂</w:t>
      </w:r>
      <w:r>
        <w:rPr>
          <w:sz w:val="24"/>
        </w:rPr>
        <w:t>，以三氯甲烷</w:t>
      </w:r>
      <w:r>
        <w:rPr>
          <w:rFonts w:hint="eastAsia"/>
          <w:sz w:val="24"/>
        </w:rPr>
        <w:t>-</w:t>
      </w:r>
      <w:r>
        <w:rPr>
          <w:sz w:val="24"/>
        </w:rPr>
        <w:t>丙酮（1</w:t>
      </w:r>
      <w:r>
        <w:rPr>
          <w:rFonts w:hint="eastAsia"/>
          <w:sz w:val="24"/>
        </w:rPr>
        <w:t>4∶</w:t>
      </w:r>
      <w:r>
        <w:rPr>
          <w:sz w:val="24"/>
        </w:rPr>
        <w:t>1）为展开剂，展开，取出，晾干，</w:t>
      </w:r>
      <w:r>
        <w:rPr>
          <w:sz w:val="24"/>
          <w:lang w:val="en-GB"/>
        </w:rPr>
        <w:t>喷以10%硫酸乙醇溶液，105℃加热至斑点显色清晰。供试品色谱中，在与对照药材和对照品色谱相应的位置上</w:t>
      </w:r>
      <w:r>
        <w:rPr>
          <w:rFonts w:hint="eastAsia"/>
          <w:sz w:val="24"/>
          <w:lang w:val="en-GB"/>
        </w:rPr>
        <w:t>，</w:t>
      </w:r>
      <w:r>
        <w:rPr>
          <w:sz w:val="24"/>
          <w:lang w:val="en-GB"/>
        </w:rPr>
        <w:t>显相同颜色的斑点。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【检查】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水分</w:t>
      </w:r>
      <w:r>
        <w:rPr>
          <w:rFonts w:hint="eastAsia"/>
          <w:b/>
          <w:bCs/>
          <w:sz w:val="24"/>
        </w:rPr>
        <w:t xml:space="preserve"> </w:t>
      </w:r>
      <w:r>
        <w:rPr>
          <w:sz w:val="24"/>
        </w:rPr>
        <w:t xml:space="preserve"> </w:t>
      </w:r>
      <w:r>
        <w:rPr>
          <w:rStyle w:val="12"/>
          <w:rFonts w:hint="default"/>
        </w:rPr>
        <w:t>不得过</w:t>
      </w:r>
      <w:r>
        <w:rPr>
          <w:rStyle w:val="13"/>
        </w:rPr>
        <w:t>11</w:t>
      </w:r>
      <w:r>
        <w:rPr>
          <w:rStyle w:val="13"/>
          <w:rFonts w:hint="eastAsia" w:ascii="宋体" w:hAnsi="宋体" w:eastAsia="宋体" w:cs="宋体"/>
        </w:rPr>
        <w:t>.</w:t>
      </w:r>
      <w:r>
        <w:rPr>
          <w:rStyle w:val="13"/>
        </w:rPr>
        <w:t>0%</w:t>
      </w:r>
      <w:r>
        <w:rPr>
          <w:rStyle w:val="12"/>
          <w:rFonts w:hint="default"/>
        </w:rPr>
        <w:t>（《中国药典》</w:t>
      </w:r>
      <w:r>
        <w:rPr>
          <w:rStyle w:val="13"/>
        </w:rPr>
        <w:t>2020</w:t>
      </w:r>
      <w:r>
        <w:rPr>
          <w:rStyle w:val="12"/>
          <w:rFonts w:hint="default"/>
        </w:rPr>
        <w:t xml:space="preserve">年版 四部 通则 </w:t>
      </w:r>
      <w:r>
        <w:rPr>
          <w:rStyle w:val="13"/>
        </w:rPr>
        <w:t xml:space="preserve">0832 </w:t>
      </w:r>
      <w:r>
        <w:rPr>
          <w:rStyle w:val="12"/>
          <w:rFonts w:hint="default"/>
        </w:rPr>
        <w:t>第二法）。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总灰分</w:t>
      </w:r>
      <w:r>
        <w:rPr>
          <w:rFonts w:hint="eastAsia"/>
          <w:b/>
          <w:bCs/>
          <w:sz w:val="24"/>
        </w:rPr>
        <w:t xml:space="preserve">  </w:t>
      </w:r>
      <w:r>
        <w:rPr>
          <w:sz w:val="24"/>
        </w:rPr>
        <w:t>不得过7</w:t>
      </w:r>
      <w:r>
        <w:rPr>
          <w:rFonts w:hint="eastAsia" w:ascii="宋体" w:hAnsi="宋体" w:eastAsia="宋体" w:cs="宋体"/>
          <w:sz w:val="24"/>
        </w:rPr>
        <w:t>.</w:t>
      </w:r>
      <w:r>
        <w:rPr>
          <w:sz w:val="24"/>
        </w:rPr>
        <w:t>0%（《中国药典》2020年版 四部 通则 2302）。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【浸出物】</w:t>
      </w:r>
      <w:r>
        <w:rPr>
          <w:rFonts w:hint="eastAsia"/>
          <w:sz w:val="24"/>
        </w:rPr>
        <w:t xml:space="preserve"> </w:t>
      </w:r>
      <w:r>
        <w:rPr>
          <w:sz w:val="24"/>
        </w:rPr>
        <w:t>照醇溶性浸出物测定法（《中国药典》2020年版 四部 通则 2201）项下的热浸法测定，用75%乙醇作溶剂，不得少于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 w:ascii="宋体" w:hAnsi="宋体" w:eastAsia="宋体" w:cs="宋体"/>
          <w:sz w:val="24"/>
        </w:rPr>
        <w:t>.</w:t>
      </w:r>
      <w:r>
        <w:rPr>
          <w:sz w:val="24"/>
        </w:rPr>
        <w:t>0%</w:t>
      </w:r>
      <w:r>
        <w:rPr>
          <w:rFonts w:hint="eastAsia"/>
          <w:sz w:val="24"/>
        </w:rPr>
        <w:t>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【性味与归经】</w:t>
      </w:r>
      <w:r>
        <w:rPr>
          <w:sz w:val="24"/>
        </w:rPr>
        <w:t xml:space="preserve"> 辛</w:t>
      </w:r>
      <w:r>
        <w:rPr>
          <w:rFonts w:hint="eastAsia"/>
          <w:sz w:val="24"/>
        </w:rPr>
        <w:t>，苦</w:t>
      </w:r>
      <w:r>
        <w:rPr>
          <w:sz w:val="24"/>
        </w:rPr>
        <w:t>，</w:t>
      </w:r>
      <w:r>
        <w:rPr>
          <w:rFonts w:hint="eastAsia"/>
          <w:sz w:val="24"/>
        </w:rPr>
        <w:t>平</w:t>
      </w:r>
      <w:r>
        <w:rPr>
          <w:sz w:val="24"/>
        </w:rPr>
        <w:t>。归肝、肾经。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【功能与主治】</w:t>
      </w:r>
      <w:r>
        <w:rPr>
          <w:sz w:val="24"/>
        </w:rPr>
        <w:t xml:space="preserve"> </w:t>
      </w:r>
      <w:r>
        <w:rPr>
          <w:rFonts w:hint="eastAsia"/>
          <w:sz w:val="24"/>
        </w:rPr>
        <w:t>祛风湿、强筋骨、止痒。用于风湿痹痛，肾虚腰膝酸软，风疹。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【用法与用量】</w:t>
      </w:r>
      <w:r>
        <w:rPr>
          <w:sz w:val="24"/>
        </w:rPr>
        <w:t xml:space="preserve"> </w:t>
      </w:r>
      <w:r>
        <w:rPr>
          <w:rFonts w:hint="eastAsia"/>
          <w:sz w:val="24"/>
        </w:rPr>
        <w:t>5</w:t>
      </w:r>
      <w:r>
        <w:rPr>
          <w:rFonts w:hint="eastAsia" w:ascii="宋体" w:hAnsi="宋体" w:cs="宋体"/>
        </w:rPr>
        <w:t>～</w:t>
      </w:r>
      <w:r>
        <w:rPr>
          <w:sz w:val="24"/>
        </w:rPr>
        <w:t>15g</w:t>
      </w:r>
      <w:r>
        <w:rPr>
          <w:rFonts w:hint="eastAsia"/>
          <w:sz w:val="24"/>
        </w:rPr>
        <w:t>。</w:t>
      </w:r>
      <w:r>
        <w:rPr>
          <w:sz w:val="24"/>
        </w:rPr>
        <w:t>外用适量。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【贮藏】</w:t>
      </w:r>
      <w:r>
        <w:rPr>
          <w:sz w:val="24"/>
        </w:rPr>
        <w:t xml:space="preserve"> 置</w:t>
      </w:r>
      <w:r>
        <w:rPr>
          <w:rFonts w:hint="eastAsia"/>
          <w:sz w:val="24"/>
        </w:rPr>
        <w:t>通风干燥处</w:t>
      </w:r>
      <w:r>
        <w:rPr>
          <w:sz w:val="24"/>
        </w:rPr>
        <w:t>。</w:t>
      </w:r>
    </w:p>
    <w:p>
      <w:pPr>
        <w:spacing w:line="288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【曾用名】 </w:t>
      </w:r>
      <w:r>
        <w:rPr>
          <w:rFonts w:hint="eastAsia"/>
          <w:sz w:val="24"/>
        </w:rPr>
        <w:t>石楠藤</w:t>
      </w:r>
      <w:r>
        <w:rPr>
          <w:rFonts w:hint="eastAsia" w:eastAsia="黑体"/>
          <w:sz w:val="24"/>
        </w:rPr>
        <w:t>。</w:t>
      </w:r>
    </w:p>
    <w:p>
      <w:pPr>
        <w:spacing w:line="288" w:lineRule="auto"/>
        <w:ind w:firstLine="480" w:firstLineChars="200"/>
        <w:rPr>
          <w:rFonts w:hint="eastAsia" w:eastAsia="黑体"/>
          <w:sz w:val="24"/>
        </w:rPr>
      </w:pPr>
    </w:p>
    <w:p>
      <w:pPr>
        <w:spacing w:line="288" w:lineRule="auto"/>
        <w:ind w:firstLine="480" w:firstLineChars="200"/>
        <w:rPr>
          <w:rFonts w:hint="eastAsia" w:eastAsia="黑体"/>
          <w:sz w:val="24"/>
        </w:rPr>
      </w:pPr>
    </w:p>
    <w:p>
      <w:pPr>
        <w:spacing w:line="288" w:lineRule="auto"/>
        <w:ind w:firstLine="480" w:firstLineChars="200"/>
        <w:rPr>
          <w:rFonts w:hint="eastAsia" w:eastAsia="黑体"/>
          <w:sz w:val="24"/>
        </w:rPr>
      </w:pPr>
    </w:p>
    <w:p>
      <w:pPr>
        <w:spacing w:line="288" w:lineRule="auto"/>
        <w:ind w:firstLine="480" w:firstLineChars="200"/>
        <w:rPr>
          <w:rFonts w:hint="eastAsia" w:eastAsia="黑体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88" w:lineRule="auto"/>
        <w:jc w:val="both"/>
        <w:rPr>
          <w:rFonts w:hint="eastAsia" w:ascii="Times New Roman" w:hAnsi="Times New Roman" w:eastAsia="宋体" w:cs="Times New Roman"/>
          <w:iCs/>
          <w:color w:val="000000"/>
          <w:sz w:val="24"/>
        </w:rPr>
      </w:pPr>
    </w:p>
    <w:p>
      <w:pPr>
        <w:spacing w:line="240" w:lineRule="auto"/>
        <w:ind w:firstLine="5760" w:firstLineChars="2400"/>
        <w:jc w:val="both"/>
        <w:rPr>
          <w:rFonts w:ascii="Times New Roman" w:hAnsi="Times New Roman" w:eastAsia="宋体" w:cs="Times New Roman"/>
          <w:iCs/>
          <w:color w:val="000000"/>
          <w:sz w:val="24"/>
        </w:rPr>
      </w:pP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DBY-22-JLYP-00</w:t>
      </w:r>
      <w:r>
        <w:rPr>
          <w:rFonts w:ascii="Times New Roman" w:hAnsi="Times New Roman" w:eastAsia="宋体" w:cs="Times New Roman"/>
          <w:iCs/>
          <w:color w:val="000000"/>
          <w:sz w:val="24"/>
        </w:rPr>
        <w:t>3</w:t>
      </w:r>
      <w:r>
        <w:rPr>
          <w:rFonts w:hint="eastAsia" w:ascii="Times New Roman" w:hAnsi="Times New Roman" w:eastAsia="宋体" w:cs="Times New Roman"/>
          <w:iCs/>
          <w:color w:val="000000"/>
          <w:sz w:val="24"/>
        </w:rPr>
        <w:t>-202</w:t>
      </w:r>
      <w:r>
        <w:rPr>
          <w:rFonts w:ascii="Times New Roman" w:hAnsi="Times New Roman" w:eastAsia="宋体" w:cs="Times New Roman"/>
          <w:iCs/>
          <w:color w:val="000000"/>
          <w:sz w:val="24"/>
        </w:rPr>
        <w:t>5</w:t>
      </w:r>
    </w:p>
    <w:p>
      <w:pPr>
        <w:spacing w:line="288" w:lineRule="auto"/>
        <w:jc w:val="center"/>
        <w:rPr>
          <w:rFonts w:ascii="Times New Roman" w:hAnsi="Times New Roman" w:eastAsia="宋体"/>
          <w:sz w:val="24"/>
        </w:rPr>
      </w:pPr>
    </w:p>
    <w:p>
      <w:pPr>
        <w:spacing w:line="288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石 南 藤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</w:rPr>
        <w:t>Shin</w:t>
      </w:r>
      <w:r>
        <w:rPr>
          <w:rFonts w:hint="eastAsia"/>
          <w:lang w:val="en-US" w:eastAsia="zh-CN"/>
        </w:rPr>
        <w:t>an</w:t>
      </w:r>
      <w:r>
        <w:rPr>
          <w:rFonts w:hint="eastAsia" w:eastAsia="宋体"/>
        </w:rPr>
        <w:t>ten</w:t>
      </w:r>
      <w:r>
        <w:rPr>
          <w:rFonts w:hint="eastAsia"/>
          <w:lang w:val="en-US" w:eastAsia="zh-CN"/>
        </w:rPr>
        <w:t>g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88" w:lineRule="auto"/>
        <w:ind w:firstLine="480" w:firstLineChars="200"/>
        <w:rPr>
          <w:sz w:val="24"/>
        </w:rPr>
      </w:pPr>
      <w:r>
        <w:rPr>
          <w:sz w:val="24"/>
        </w:rPr>
        <w:t>本品为</w:t>
      </w:r>
      <w:r>
        <w:rPr>
          <w:rFonts w:hint="eastAsia"/>
          <w:sz w:val="24"/>
        </w:rPr>
        <w:t>胡椒科植物石南藤</w:t>
      </w:r>
      <w:r>
        <w:rPr>
          <w:i/>
          <w:iCs/>
          <w:sz w:val="24"/>
        </w:rPr>
        <w:t>Piper wallichii </w:t>
      </w:r>
      <w:r>
        <w:rPr>
          <w:sz w:val="24"/>
        </w:rPr>
        <w:t>(Miq.)</w:t>
      </w:r>
      <w:r>
        <w:rPr>
          <w:i/>
          <w:iCs/>
          <w:sz w:val="24"/>
        </w:rPr>
        <w:t xml:space="preserve"> </w:t>
      </w:r>
      <w:r>
        <w:rPr>
          <w:sz w:val="24"/>
        </w:rPr>
        <w:t>Hand.-Mazz.干燥带叶茎枝</w:t>
      </w:r>
      <w:r>
        <w:rPr>
          <w:rFonts w:hint="eastAsia"/>
          <w:sz w:val="24"/>
        </w:rPr>
        <w:t>的加工炮制品</w:t>
      </w:r>
      <w:r>
        <w:rPr>
          <w:sz w:val="24"/>
        </w:rPr>
        <w:t>。</w:t>
      </w:r>
      <w:bookmarkStart w:id="0" w:name="_GoBack"/>
      <w:bookmarkEnd w:id="0"/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【炮制】</w:t>
      </w:r>
      <w:r>
        <w:rPr>
          <w:rFonts w:hint="eastAsia" w:ascii="黑体" w:hAnsi="黑体" w:eastAsia="黑体" w:cs="黑体"/>
          <w:b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取原药材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除去杂质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hint="eastAsia" w:cs="Times New Roman"/>
          <w:sz w:val="24"/>
        </w:rPr>
        <w:t>淋洗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润透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切段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干燥。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【性状】 </w:t>
      </w:r>
      <w:r>
        <w:rPr>
          <w:rFonts w:ascii="Times New Roman" w:hAnsi="Times New Roman" w:eastAsia="宋体" w:cs="Times New Roman"/>
          <w:sz w:val="24"/>
        </w:rPr>
        <w:t>本品为不规则段</w:t>
      </w:r>
      <w:r>
        <w:rPr>
          <w:rFonts w:hint="eastAsia" w:cs="Times New Roman"/>
          <w:sz w:val="24"/>
        </w:rPr>
        <w:t>。</w:t>
      </w:r>
      <w:r>
        <w:rPr>
          <w:rFonts w:ascii="Times New Roman" w:hAnsi="Times New Roman" w:eastAsia="宋体" w:cs="Times New Roman"/>
          <w:sz w:val="24"/>
        </w:rPr>
        <w:t>呈扁圆柱形或类圆柱形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直径0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cs="Times New Roman"/>
          <w:sz w:val="24"/>
        </w:rPr>
        <w:t>～</w:t>
      </w:r>
      <w:r>
        <w:rPr>
          <w:rFonts w:ascii="Times New Roman" w:hAnsi="Times New Roman" w:eastAsia="宋体" w:cs="Times New Roman"/>
          <w:sz w:val="24"/>
        </w:rPr>
        <w:t>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 w:cs="Times New Roman"/>
          <w:sz w:val="24"/>
        </w:rPr>
        <w:t>6</w:t>
      </w:r>
      <w:r>
        <w:rPr>
          <w:rFonts w:ascii="Times New Roman" w:hAnsi="Times New Roman" w:eastAsia="宋体" w:cs="Times New Roman"/>
          <w:sz w:val="24"/>
        </w:rPr>
        <w:t>cm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eastAsia="宋体" w:cs="Times New Roman"/>
          <w:sz w:val="24"/>
        </w:rPr>
        <w:t>表面灰褐色或褐色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有</w:t>
      </w:r>
      <w:r>
        <w:rPr>
          <w:sz w:val="24"/>
        </w:rPr>
        <w:t>纵沟纹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节膨大</w:t>
      </w:r>
      <w:r>
        <w:rPr>
          <w:rFonts w:hint="eastAsia"/>
          <w:sz w:val="24"/>
        </w:rPr>
        <w:t>，</w:t>
      </w:r>
      <w:r>
        <w:rPr>
          <w:sz w:val="24"/>
        </w:rPr>
        <w:t>具不定根</w:t>
      </w:r>
      <w:r>
        <w:rPr>
          <w:rFonts w:hint="eastAsia" w:cs="Times New Roman"/>
          <w:sz w:val="24"/>
        </w:rPr>
        <w:t>；</w:t>
      </w:r>
      <w:r>
        <w:rPr>
          <w:rFonts w:ascii="Times New Roman" w:hAnsi="Times New Roman" w:eastAsia="宋体" w:cs="Times New Roman"/>
          <w:sz w:val="24"/>
        </w:rPr>
        <w:t>体轻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质脆</w:t>
      </w:r>
      <w:r>
        <w:rPr>
          <w:rFonts w:hint="eastAsia" w:cs="Times New Roman"/>
          <w:sz w:val="24"/>
        </w:rPr>
        <w:t>；</w:t>
      </w:r>
      <w:r>
        <w:rPr>
          <w:rFonts w:ascii="Times New Roman" w:hAnsi="Times New Roman" w:eastAsia="宋体" w:cs="Times New Roman"/>
          <w:sz w:val="24"/>
        </w:rPr>
        <w:t>切面皮部窄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sz w:val="24"/>
        </w:rPr>
        <w:t>维管束与射线相间排列，呈放射状，</w:t>
      </w:r>
      <w:r>
        <w:rPr>
          <w:rFonts w:hint="eastAsia"/>
          <w:sz w:val="24"/>
        </w:rPr>
        <w:t>髓</w:t>
      </w:r>
      <w:r>
        <w:rPr>
          <w:sz w:val="24"/>
        </w:rPr>
        <w:t>部宽，内有维管束数个。</w:t>
      </w:r>
      <w:r>
        <w:rPr>
          <w:rFonts w:ascii="Times New Roman" w:hAnsi="Times New Roman" w:eastAsia="宋体" w:cs="Times New Roman"/>
          <w:sz w:val="24"/>
        </w:rPr>
        <w:t>叶多破碎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sz w:val="24"/>
        </w:rPr>
        <w:t>两面或下面被短柔毛</w:t>
      </w:r>
      <w:r>
        <w:rPr>
          <w:rFonts w:hint="eastAsia" w:ascii="Times New Roman" w:hAnsi="Times New Roman" w:cs="Times New Roman"/>
          <w:sz w:val="24"/>
        </w:rPr>
        <w:t>。</w:t>
      </w:r>
      <w:r>
        <w:rPr>
          <w:sz w:val="24"/>
        </w:rPr>
        <w:t>气清香，味辛辣。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【鉴别】 </w:t>
      </w:r>
      <w:r>
        <w:rPr>
          <w:rFonts w:hint="eastAsia" w:ascii="宋体" w:hAnsi="宋体" w:eastAsia="宋体" w:cs="宋体"/>
          <w:sz w:val="24"/>
        </w:rPr>
        <w:t>（1）</w:t>
      </w:r>
      <w:r>
        <w:rPr>
          <w:rFonts w:hint="eastAsia" w:ascii="宋体" w:hAnsi="宋体" w:cs="宋体"/>
          <w:sz w:val="24"/>
        </w:rPr>
        <w:t>本品</w:t>
      </w:r>
      <w:r>
        <w:rPr>
          <w:rFonts w:ascii="Times New Roman" w:hAnsi="Times New Roman" w:eastAsia="宋体" w:cs="Times New Roman"/>
          <w:sz w:val="24"/>
        </w:rPr>
        <w:t>粉末棕黄色或棕褐色</w:t>
      </w:r>
      <w:r>
        <w:rPr>
          <w:rFonts w:hint="eastAsia" w:ascii="Times New Roman" w:hAnsi="Times New Roman" w:eastAsia="宋体" w:cs="Times New Roman"/>
          <w:sz w:val="24"/>
        </w:rPr>
        <w:t>。叶上、下表皮细胞多角形，细胞壁略弯曲，无色；腺鳞类圆形或多边形，浅黄棕色至深棕色；纤维成束，细胞壁略厚，波状弯曲，较平滑，胞腔大；气孔较多，平轴式。茎表皮细胞为4</w:t>
      </w:r>
      <w:r>
        <w:rPr>
          <w:rFonts w:hint="eastAsia" w:ascii="宋体" w:hAnsi="宋体" w:cs="宋体"/>
        </w:rPr>
        <w:t>～</w:t>
      </w:r>
      <w:r>
        <w:rPr>
          <w:rFonts w:hint="eastAsia" w:ascii="Times New Roman" w:hAnsi="Times New Roman" w:eastAsia="宋体" w:cs="Times New Roman"/>
          <w:sz w:val="24"/>
        </w:rPr>
        <w:t>6边形，排列紧密。纤维众多，无色或黄色，多种且长短不一，成束或单个散在，较短的纤维2</w:t>
      </w:r>
      <w:r>
        <w:rPr>
          <w:rFonts w:hint="eastAsia" w:cs="Times New Roman"/>
          <w:sz w:val="24"/>
        </w:rPr>
        <w:t>～</w:t>
      </w:r>
      <w:r>
        <w:rPr>
          <w:rFonts w:hint="eastAsia" w:ascii="Times New Roman" w:hAnsi="Times New Roman" w:eastAsia="宋体" w:cs="Times New Roman"/>
          <w:sz w:val="24"/>
        </w:rPr>
        <w:t>5个并列；梭形、矩圆形、两头尖斜或一头圆，一头尖；细胞壁增厚不均匀，多甚厚，壁薄者胞腔较大。</w:t>
      </w:r>
      <w:r>
        <w:rPr>
          <w:rFonts w:ascii="Times New Roman" w:hAnsi="Times New Roman" w:eastAsia="宋体" w:cs="Times New Roman"/>
          <w:sz w:val="24"/>
        </w:rPr>
        <w:t>石细胞散在或成群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淡黄色或黄色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类</w:t>
      </w:r>
      <w:r>
        <w:rPr>
          <w:rFonts w:hint="eastAsia" w:cs="Times New Roman"/>
          <w:sz w:val="24"/>
        </w:rPr>
        <w:t>圆</w:t>
      </w:r>
      <w:r>
        <w:rPr>
          <w:rFonts w:ascii="Times New Roman" w:hAnsi="Times New Roman" w:eastAsia="宋体" w:cs="Times New Roman"/>
          <w:sz w:val="24"/>
        </w:rPr>
        <w:t>形或不规则形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孔沟及层纹明显</w:t>
      </w:r>
      <w:r>
        <w:rPr>
          <w:rFonts w:hint="eastAsia" w:ascii="Times New Roman" w:hAnsi="Times New Roman" w:eastAsia="宋体" w:cs="Times New Roman"/>
          <w:sz w:val="24"/>
        </w:rPr>
        <w:t>。</w:t>
      </w:r>
      <w:r>
        <w:rPr>
          <w:rFonts w:ascii="Times New Roman" w:hAnsi="Times New Roman" w:eastAsia="宋体" w:cs="Times New Roman"/>
          <w:sz w:val="24"/>
        </w:rPr>
        <w:t>非腺毛少数</w:t>
      </w:r>
      <w:r>
        <w:rPr>
          <w:rFonts w:hint="eastAsia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多细胞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hint="eastAsia" w:cs="Times New Roman"/>
          <w:sz w:val="24"/>
        </w:rPr>
        <w:t>易碎断，完整者基部膨大，</w:t>
      </w:r>
      <w:r>
        <w:rPr>
          <w:rFonts w:ascii="Times New Roman" w:hAnsi="Times New Roman" w:eastAsia="宋体" w:cs="Times New Roman"/>
          <w:sz w:val="24"/>
        </w:rPr>
        <w:t>外壁</w:t>
      </w:r>
      <w:r>
        <w:rPr>
          <w:rFonts w:hint="eastAsia" w:cs="Times New Roman"/>
          <w:sz w:val="24"/>
        </w:rPr>
        <w:t>具条纹。叶、茎的薄壁细胞均含草酸钙砂晶。</w:t>
      </w:r>
      <w:r>
        <w:rPr>
          <w:rFonts w:ascii="Times New Roman" w:hAnsi="Times New Roman" w:eastAsia="宋体" w:cs="Times New Roman"/>
          <w:sz w:val="24"/>
        </w:rPr>
        <w:t>网纹导管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梯纹导管和螺纹导管细长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直径20</w:t>
      </w:r>
      <w:r>
        <w:rPr>
          <w:rFonts w:hint="eastAsia" w:cs="Times New Roman"/>
          <w:sz w:val="24"/>
        </w:rPr>
        <w:t>～</w:t>
      </w:r>
      <w:r>
        <w:rPr>
          <w:rFonts w:hint="eastAsia" w:ascii="Times New Roman" w:hAnsi="Times New Roman" w:eastAsia="宋体" w:cs="Times New Roman"/>
          <w:sz w:val="24"/>
        </w:rPr>
        <w:t>7</w:t>
      </w:r>
      <w:r>
        <w:rPr>
          <w:rFonts w:ascii="Times New Roman" w:hAnsi="Times New Roman" w:eastAsia="宋体" w:cs="Times New Roman"/>
          <w:sz w:val="24"/>
        </w:rPr>
        <w:t>0μm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>
      <w:pPr>
        <w:numPr>
          <w:ilvl w:val="0"/>
          <w:numId w:val="1"/>
        </w:numPr>
        <w:spacing w:line="288" w:lineRule="auto"/>
        <w:ind w:firstLine="480" w:firstLineChars="200"/>
        <w:rPr>
          <w:sz w:val="24"/>
          <w:lang w:val="en-GB"/>
        </w:rPr>
      </w:pPr>
      <w:r>
        <w:rPr>
          <w:sz w:val="24"/>
          <w:lang w:val="en-GB"/>
        </w:rPr>
        <w:t>取本品粉末</w:t>
      </w:r>
      <w:r>
        <w:rPr>
          <w:sz w:val="24"/>
        </w:rPr>
        <w:t>2</w:t>
      </w:r>
      <w:r>
        <w:rPr>
          <w:sz w:val="24"/>
          <w:lang w:val="en-GB"/>
        </w:rPr>
        <w:t>g，加</w:t>
      </w:r>
      <w:r>
        <w:rPr>
          <w:sz w:val="24"/>
        </w:rPr>
        <w:t>二氯甲烷</w:t>
      </w:r>
      <w:r>
        <w:rPr>
          <w:rFonts w:hint="eastAsia"/>
          <w:sz w:val="24"/>
        </w:rPr>
        <w:t>2</w:t>
      </w:r>
      <w:r>
        <w:rPr>
          <w:sz w:val="24"/>
          <w:lang w:val="en-GB"/>
        </w:rPr>
        <w:t>0ml，</w:t>
      </w:r>
      <w:r>
        <w:rPr>
          <w:sz w:val="24"/>
        </w:rPr>
        <w:t>超声</w:t>
      </w:r>
      <w:r>
        <w:rPr>
          <w:rFonts w:hint="eastAsia"/>
          <w:sz w:val="24"/>
        </w:rPr>
        <w:t>处理</w:t>
      </w:r>
      <w:r>
        <w:rPr>
          <w:sz w:val="24"/>
        </w:rPr>
        <w:t>10</w:t>
      </w:r>
      <w:r>
        <w:rPr>
          <w:rFonts w:hint="eastAsia"/>
          <w:sz w:val="24"/>
        </w:rPr>
        <w:t>分钟</w:t>
      </w:r>
      <w:r>
        <w:rPr>
          <w:sz w:val="24"/>
          <w:lang w:val="en-GB"/>
        </w:rPr>
        <w:t>，滤过，滤液作为供试品溶液。另取</w:t>
      </w:r>
      <w:r>
        <w:rPr>
          <w:rFonts w:hint="eastAsia"/>
          <w:sz w:val="24"/>
        </w:rPr>
        <w:t>石南</w:t>
      </w:r>
      <w:r>
        <w:rPr>
          <w:sz w:val="24"/>
        </w:rPr>
        <w:t>藤</w:t>
      </w:r>
      <w:r>
        <w:rPr>
          <w:sz w:val="24"/>
          <w:lang w:val="en-GB"/>
        </w:rPr>
        <w:t>对照药材</w:t>
      </w:r>
      <w:r>
        <w:rPr>
          <w:sz w:val="24"/>
        </w:rPr>
        <w:t>2</w:t>
      </w:r>
      <w:r>
        <w:rPr>
          <w:sz w:val="24"/>
          <w:lang w:val="en-GB"/>
        </w:rPr>
        <w:t>g，同法制成对照药材溶液。照薄层色谱法（《中国药典》20</w:t>
      </w:r>
      <w:r>
        <w:rPr>
          <w:sz w:val="24"/>
        </w:rPr>
        <w:t>20</w:t>
      </w:r>
      <w:r>
        <w:rPr>
          <w:sz w:val="24"/>
          <w:lang w:val="en-GB"/>
        </w:rPr>
        <w:t>年版四部通则0502</w:t>
      </w:r>
      <w:r>
        <w:rPr>
          <w:sz w:val="24"/>
        </w:rPr>
        <w:t>）试验，吸取上述两种溶液各3</w:t>
      </w:r>
      <w:r>
        <w:rPr>
          <w:rFonts w:hint="eastAsia" w:cs="Times New Roman"/>
          <w:sz w:val="24"/>
        </w:rPr>
        <w:t>～</w:t>
      </w:r>
      <w:r>
        <w:rPr>
          <w:sz w:val="24"/>
        </w:rPr>
        <w:t>5μl，分别点于同一硅胶GF</w:t>
      </w:r>
      <w:r>
        <w:rPr>
          <w:sz w:val="24"/>
          <w:vertAlign w:val="subscript"/>
        </w:rPr>
        <w:t>254</w:t>
      </w:r>
      <w:r>
        <w:rPr>
          <w:sz w:val="24"/>
        </w:rPr>
        <w:t>薄层板上，以石油醚（60</w:t>
      </w:r>
      <w:r>
        <w:rPr>
          <w:rFonts w:hint="eastAsia" w:cs="Times New Roman"/>
          <w:sz w:val="24"/>
        </w:rPr>
        <w:t>～</w:t>
      </w:r>
      <w:r>
        <w:rPr>
          <w:sz w:val="24"/>
        </w:rPr>
        <w:t>90℃）</w:t>
      </w:r>
      <w:r>
        <w:rPr>
          <w:rFonts w:hint="eastAsia"/>
          <w:sz w:val="24"/>
        </w:rPr>
        <w:t>-乙酸乙酯</w:t>
      </w:r>
      <w:r>
        <w:rPr>
          <w:sz w:val="24"/>
        </w:rPr>
        <w:t>（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cs="Times New Roman"/>
          <w:sz w:val="24"/>
        </w:rPr>
        <w:t>∶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sz w:val="24"/>
        </w:rPr>
        <w:t>）为展开剂，</w:t>
      </w:r>
      <w:r>
        <w:rPr>
          <w:rFonts w:hint="eastAsia"/>
          <w:sz w:val="24"/>
        </w:rPr>
        <w:t>展开，</w:t>
      </w:r>
      <w:r>
        <w:rPr>
          <w:sz w:val="24"/>
        </w:rPr>
        <w:t>取出，晾干，再以石油醚（60</w:t>
      </w:r>
      <w:r>
        <w:rPr>
          <w:rFonts w:hint="eastAsia" w:cs="Times New Roman"/>
          <w:sz w:val="24"/>
        </w:rPr>
        <w:t>～</w:t>
      </w:r>
      <w:r>
        <w:rPr>
          <w:sz w:val="24"/>
        </w:rPr>
        <w:t>90℃）</w:t>
      </w:r>
      <w:r>
        <w:rPr>
          <w:rFonts w:hint="eastAsia"/>
          <w:sz w:val="24"/>
        </w:rPr>
        <w:t>-</w:t>
      </w:r>
      <w:r>
        <w:rPr>
          <w:sz w:val="24"/>
        </w:rPr>
        <w:t>丙酮（</w:t>
      </w:r>
      <w:r>
        <w:rPr>
          <w:rFonts w:hint="eastAsia"/>
          <w:sz w:val="24"/>
        </w:rPr>
        <w:t>10</w:t>
      </w:r>
      <w:r>
        <w:rPr>
          <w:rFonts w:hint="eastAsia" w:cs="Times New Roman"/>
          <w:sz w:val="24"/>
        </w:rPr>
        <w:t>∶6</w:t>
      </w:r>
      <w:r>
        <w:rPr>
          <w:sz w:val="24"/>
        </w:rPr>
        <w:t>）为展开剂，展</w:t>
      </w:r>
      <w:r>
        <w:rPr>
          <w:rFonts w:hint="eastAsia"/>
          <w:sz w:val="24"/>
        </w:rPr>
        <w:t>开</w:t>
      </w:r>
      <w:r>
        <w:rPr>
          <w:sz w:val="24"/>
        </w:rPr>
        <w:t>，取出，晾干，</w:t>
      </w:r>
      <w:r>
        <w:rPr>
          <w:rFonts w:hint="eastAsia"/>
          <w:sz w:val="24"/>
        </w:rPr>
        <w:t>置紫外光灯（254nm）下检视</w:t>
      </w:r>
      <w:r>
        <w:rPr>
          <w:sz w:val="24"/>
          <w:lang w:val="en-GB"/>
        </w:rPr>
        <w:t>。供试品色谱中，在与对照药材色谱</w:t>
      </w:r>
      <w:r>
        <w:rPr>
          <w:rFonts w:hint="eastAsia"/>
          <w:sz w:val="24"/>
          <w:lang w:val="en-GB"/>
        </w:rPr>
        <w:t>相应</w:t>
      </w:r>
      <w:r>
        <w:rPr>
          <w:sz w:val="24"/>
          <w:lang w:val="en-GB"/>
        </w:rPr>
        <w:t>的位置上，显相同</w:t>
      </w:r>
      <w:r>
        <w:rPr>
          <w:sz w:val="24"/>
        </w:rPr>
        <w:t>颜</w:t>
      </w:r>
      <w:r>
        <w:rPr>
          <w:sz w:val="24"/>
          <w:lang w:val="en-GB"/>
        </w:rPr>
        <w:t>色的斑点</w:t>
      </w:r>
      <w:r>
        <w:rPr>
          <w:sz w:val="24"/>
        </w:rPr>
        <w:t>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【检查】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水分</w:t>
      </w:r>
      <w:r>
        <w:rPr>
          <w:rFonts w:hint="eastAsia"/>
          <w:b/>
          <w:bCs/>
          <w:sz w:val="24"/>
        </w:rPr>
        <w:t xml:space="preserve"> </w:t>
      </w:r>
      <w:r>
        <w:rPr>
          <w:sz w:val="24"/>
        </w:rPr>
        <w:t xml:space="preserve"> </w:t>
      </w:r>
      <w:r>
        <w:rPr>
          <w:rStyle w:val="12"/>
          <w:rFonts w:hint="default"/>
        </w:rPr>
        <w:t>不得过</w:t>
      </w:r>
      <w:r>
        <w:rPr>
          <w:rStyle w:val="13"/>
        </w:rPr>
        <w:t>11</w:t>
      </w:r>
      <w:r>
        <w:rPr>
          <w:rStyle w:val="13"/>
          <w:rFonts w:hint="eastAsia" w:ascii="宋体" w:hAnsi="宋体" w:eastAsia="宋体" w:cs="宋体"/>
        </w:rPr>
        <w:t>.</w:t>
      </w:r>
      <w:r>
        <w:rPr>
          <w:rStyle w:val="13"/>
        </w:rPr>
        <w:t>0%</w:t>
      </w:r>
      <w:r>
        <w:rPr>
          <w:rStyle w:val="12"/>
          <w:rFonts w:hint="default"/>
        </w:rPr>
        <w:t>（《中国药典》</w:t>
      </w:r>
      <w:r>
        <w:rPr>
          <w:rStyle w:val="13"/>
        </w:rPr>
        <w:t>2020</w:t>
      </w:r>
      <w:r>
        <w:rPr>
          <w:rStyle w:val="12"/>
          <w:rFonts w:hint="default"/>
        </w:rPr>
        <w:t xml:space="preserve">年版 四部 通则 </w:t>
      </w:r>
      <w:r>
        <w:rPr>
          <w:rStyle w:val="13"/>
        </w:rPr>
        <w:t xml:space="preserve">0832 </w:t>
      </w:r>
      <w:r>
        <w:rPr>
          <w:rStyle w:val="12"/>
          <w:rFonts w:hint="default"/>
        </w:rPr>
        <w:t>第二法）。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总灰分</w:t>
      </w:r>
      <w:r>
        <w:rPr>
          <w:rFonts w:hint="eastAsia"/>
          <w:b/>
          <w:bCs/>
          <w:sz w:val="24"/>
        </w:rPr>
        <w:t xml:space="preserve">  </w:t>
      </w:r>
      <w:r>
        <w:rPr>
          <w:sz w:val="24"/>
        </w:rPr>
        <w:t>不得过7</w:t>
      </w:r>
      <w:r>
        <w:rPr>
          <w:rFonts w:hint="eastAsia" w:ascii="宋体" w:hAnsi="宋体" w:eastAsia="宋体" w:cs="宋体"/>
          <w:sz w:val="24"/>
        </w:rPr>
        <w:t>.</w:t>
      </w:r>
      <w:r>
        <w:rPr>
          <w:sz w:val="24"/>
        </w:rPr>
        <w:t>0%（《中国药典》2020年版 四部 通则 2302）。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【浸出物】</w:t>
      </w:r>
      <w:r>
        <w:rPr>
          <w:rFonts w:hint="eastAsia"/>
          <w:sz w:val="24"/>
        </w:rPr>
        <w:t xml:space="preserve"> </w:t>
      </w:r>
      <w:r>
        <w:rPr>
          <w:sz w:val="24"/>
        </w:rPr>
        <w:t>照醇溶性浸出物测定法（《中国药典》2020年版 四部 通则 2201）项下的热浸法测定，用75%乙醇作溶剂，</w:t>
      </w:r>
      <w:r>
        <w:rPr>
          <w:rFonts w:hint="eastAsia"/>
          <w:sz w:val="24"/>
        </w:rPr>
        <w:t>不得少于10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/>
          <w:sz w:val="24"/>
        </w:rPr>
        <w:t>0%。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【性味与归经】</w:t>
      </w:r>
      <w:r>
        <w:rPr>
          <w:sz w:val="24"/>
        </w:rPr>
        <w:t xml:space="preserve"> 辛</w:t>
      </w:r>
      <w:r>
        <w:rPr>
          <w:rFonts w:hint="eastAsia"/>
          <w:sz w:val="24"/>
        </w:rPr>
        <w:t>，</w:t>
      </w:r>
      <w:r>
        <w:rPr>
          <w:sz w:val="24"/>
        </w:rPr>
        <w:t>甘，温。归肝、肾经。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【功能与主治】</w:t>
      </w:r>
      <w:r>
        <w:rPr>
          <w:sz w:val="24"/>
        </w:rPr>
        <w:t xml:space="preserve"> 补肾祛风</w:t>
      </w:r>
      <w:r>
        <w:rPr>
          <w:rFonts w:hint="eastAsia"/>
          <w:sz w:val="24"/>
        </w:rPr>
        <w:t>、舒筋止痛。</w:t>
      </w:r>
      <w:r>
        <w:rPr>
          <w:sz w:val="24"/>
        </w:rPr>
        <w:t>用于</w:t>
      </w:r>
      <w:r>
        <w:rPr>
          <w:rFonts w:hint="eastAsia"/>
          <w:sz w:val="24"/>
        </w:rPr>
        <w:t>肾虚腰膝酸软，风湿痹痛，外伤疼痛。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【用法与用量】</w:t>
      </w:r>
      <w:r>
        <w:rPr>
          <w:sz w:val="24"/>
        </w:rPr>
        <w:t xml:space="preserve"> </w:t>
      </w:r>
      <w:r>
        <w:rPr>
          <w:rFonts w:hint="eastAsia"/>
          <w:sz w:val="24"/>
        </w:rPr>
        <w:t>5</w:t>
      </w:r>
      <w:r>
        <w:rPr>
          <w:rFonts w:hint="eastAsia" w:cs="Times New Roman"/>
          <w:sz w:val="24"/>
        </w:rPr>
        <w:t>～</w:t>
      </w:r>
      <w:r>
        <w:rPr>
          <w:sz w:val="24"/>
        </w:rPr>
        <w:t>15g</w:t>
      </w:r>
      <w:r>
        <w:rPr>
          <w:rFonts w:hint="eastAsia"/>
          <w:sz w:val="24"/>
        </w:rPr>
        <w:t>。</w:t>
      </w:r>
      <w:r>
        <w:rPr>
          <w:sz w:val="24"/>
        </w:rPr>
        <w:t>外用适量。</w:t>
      </w:r>
    </w:p>
    <w:p>
      <w:pPr>
        <w:spacing w:line="288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sz w:val="24"/>
        </w:rPr>
        <w:t>【贮藏】</w:t>
      </w:r>
      <w:r>
        <w:rPr>
          <w:sz w:val="24"/>
        </w:rPr>
        <w:t xml:space="preserve"> 置通风干燥处。</w:t>
      </w:r>
    </w:p>
    <w:p>
      <w:pPr>
        <w:spacing w:line="288" w:lineRule="auto"/>
        <w:ind w:firstLine="480" w:firstLineChars="200"/>
        <w:rPr>
          <w:rFonts w:eastAsia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【曾用名】 </w:t>
      </w:r>
      <w:r>
        <w:rPr>
          <w:rFonts w:hint="eastAsia"/>
          <w:sz w:val="24"/>
        </w:rPr>
        <w:t>石楠藤</w:t>
      </w:r>
      <w:r>
        <w:rPr>
          <w:rFonts w:hint="eastAsia" w:eastAsia="黑体"/>
          <w:sz w:val="24"/>
        </w:rPr>
        <w:t>。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eastAsia="宋体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eastAsia="宋体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hint="eastAsia" w:cs="仿宋" w:asciiTheme="minorEastAsia" w:hAnsiTheme="minorEastAsia" w:eastAsiaTheme="minorEastAsia"/>
          <w:b/>
          <w:bCs/>
          <w:sz w:val="44"/>
          <w:szCs w:val="44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Nimbus Roman No9 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6061A"/>
    <w:multiLevelType w:val="singleLevel"/>
    <w:tmpl w:val="ECF6061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605CBD"/>
    <w:rsid w:val="0001040A"/>
    <w:rsid w:val="00013C29"/>
    <w:rsid w:val="000A10A4"/>
    <w:rsid w:val="000A1902"/>
    <w:rsid w:val="000B2365"/>
    <w:rsid w:val="000B494E"/>
    <w:rsid w:val="00133744"/>
    <w:rsid w:val="00220353"/>
    <w:rsid w:val="00232935"/>
    <w:rsid w:val="00255787"/>
    <w:rsid w:val="00263902"/>
    <w:rsid w:val="00272699"/>
    <w:rsid w:val="00280F65"/>
    <w:rsid w:val="002831C9"/>
    <w:rsid w:val="0029024F"/>
    <w:rsid w:val="0029076C"/>
    <w:rsid w:val="002B3FF2"/>
    <w:rsid w:val="002C58AE"/>
    <w:rsid w:val="002D4D36"/>
    <w:rsid w:val="002E5DFC"/>
    <w:rsid w:val="00361F60"/>
    <w:rsid w:val="00382FC3"/>
    <w:rsid w:val="003C1075"/>
    <w:rsid w:val="0041294B"/>
    <w:rsid w:val="00422712"/>
    <w:rsid w:val="0042409D"/>
    <w:rsid w:val="00441612"/>
    <w:rsid w:val="004566B0"/>
    <w:rsid w:val="004655DB"/>
    <w:rsid w:val="00482620"/>
    <w:rsid w:val="004C1612"/>
    <w:rsid w:val="004D7F12"/>
    <w:rsid w:val="0052238A"/>
    <w:rsid w:val="005336F0"/>
    <w:rsid w:val="00555A2E"/>
    <w:rsid w:val="00596183"/>
    <w:rsid w:val="005A41FC"/>
    <w:rsid w:val="005A5908"/>
    <w:rsid w:val="005C165D"/>
    <w:rsid w:val="005E6B82"/>
    <w:rsid w:val="00605CBD"/>
    <w:rsid w:val="006523D5"/>
    <w:rsid w:val="006826F1"/>
    <w:rsid w:val="006A610B"/>
    <w:rsid w:val="006B14A7"/>
    <w:rsid w:val="006E0805"/>
    <w:rsid w:val="00700962"/>
    <w:rsid w:val="00711982"/>
    <w:rsid w:val="00712D39"/>
    <w:rsid w:val="0076583F"/>
    <w:rsid w:val="00794CB4"/>
    <w:rsid w:val="007B3AAA"/>
    <w:rsid w:val="007E070D"/>
    <w:rsid w:val="007E1E69"/>
    <w:rsid w:val="0081528E"/>
    <w:rsid w:val="00820AD5"/>
    <w:rsid w:val="0085400A"/>
    <w:rsid w:val="00855901"/>
    <w:rsid w:val="0089037F"/>
    <w:rsid w:val="008A1F13"/>
    <w:rsid w:val="008A698B"/>
    <w:rsid w:val="008C0C3F"/>
    <w:rsid w:val="008E0DE9"/>
    <w:rsid w:val="008F6F34"/>
    <w:rsid w:val="00943B45"/>
    <w:rsid w:val="00962107"/>
    <w:rsid w:val="00964B46"/>
    <w:rsid w:val="009A46CA"/>
    <w:rsid w:val="009D1DDF"/>
    <w:rsid w:val="009E5316"/>
    <w:rsid w:val="009F455A"/>
    <w:rsid w:val="00A77752"/>
    <w:rsid w:val="00A94765"/>
    <w:rsid w:val="00AA01B2"/>
    <w:rsid w:val="00AB4A2F"/>
    <w:rsid w:val="00B26CBD"/>
    <w:rsid w:val="00B27ACE"/>
    <w:rsid w:val="00B400BC"/>
    <w:rsid w:val="00B520BA"/>
    <w:rsid w:val="00C52F50"/>
    <w:rsid w:val="00C60EB5"/>
    <w:rsid w:val="00CA1F32"/>
    <w:rsid w:val="00D07CF3"/>
    <w:rsid w:val="00D17495"/>
    <w:rsid w:val="00D3336C"/>
    <w:rsid w:val="00D6279F"/>
    <w:rsid w:val="00D63DB7"/>
    <w:rsid w:val="00DA4947"/>
    <w:rsid w:val="00DF336B"/>
    <w:rsid w:val="00E268E4"/>
    <w:rsid w:val="00E26FF4"/>
    <w:rsid w:val="00E31251"/>
    <w:rsid w:val="00E63A0C"/>
    <w:rsid w:val="00E6650B"/>
    <w:rsid w:val="00E737C0"/>
    <w:rsid w:val="00EA2CF7"/>
    <w:rsid w:val="00EB0CBD"/>
    <w:rsid w:val="00ED0787"/>
    <w:rsid w:val="00EF07D7"/>
    <w:rsid w:val="00F05308"/>
    <w:rsid w:val="00F129F6"/>
    <w:rsid w:val="00F15800"/>
    <w:rsid w:val="00F418C6"/>
    <w:rsid w:val="00F80FDE"/>
    <w:rsid w:val="00F91C6B"/>
    <w:rsid w:val="00FA79A7"/>
    <w:rsid w:val="00FB0E17"/>
    <w:rsid w:val="00FC0ECE"/>
    <w:rsid w:val="06257970"/>
    <w:rsid w:val="08A83AAF"/>
    <w:rsid w:val="12AB7137"/>
    <w:rsid w:val="17FD14FE"/>
    <w:rsid w:val="1E382F6F"/>
    <w:rsid w:val="260C5A35"/>
    <w:rsid w:val="277A3B68"/>
    <w:rsid w:val="2E84707B"/>
    <w:rsid w:val="2F0F719D"/>
    <w:rsid w:val="30041C4E"/>
    <w:rsid w:val="31EB3DD9"/>
    <w:rsid w:val="33917C6B"/>
    <w:rsid w:val="34D34AB4"/>
    <w:rsid w:val="36713347"/>
    <w:rsid w:val="37FB0FA2"/>
    <w:rsid w:val="3A3E2771"/>
    <w:rsid w:val="45CD7320"/>
    <w:rsid w:val="47DF9B59"/>
    <w:rsid w:val="487A1EE6"/>
    <w:rsid w:val="4B1C17A4"/>
    <w:rsid w:val="4D7F7DC3"/>
    <w:rsid w:val="4E5F4235"/>
    <w:rsid w:val="508C3566"/>
    <w:rsid w:val="538848A5"/>
    <w:rsid w:val="558A6892"/>
    <w:rsid w:val="57732249"/>
    <w:rsid w:val="585C4119"/>
    <w:rsid w:val="596151A6"/>
    <w:rsid w:val="5AC77A64"/>
    <w:rsid w:val="669B0778"/>
    <w:rsid w:val="67B5449D"/>
    <w:rsid w:val="67CF588F"/>
    <w:rsid w:val="6CF51963"/>
    <w:rsid w:val="6D6F2A8E"/>
    <w:rsid w:val="6DCF4CF0"/>
    <w:rsid w:val="6F696007"/>
    <w:rsid w:val="71404CE1"/>
    <w:rsid w:val="71854C91"/>
    <w:rsid w:val="75AE7B06"/>
    <w:rsid w:val="75C326A1"/>
    <w:rsid w:val="7636014E"/>
    <w:rsid w:val="766721E0"/>
    <w:rsid w:val="77AC6FA4"/>
    <w:rsid w:val="78C608D8"/>
    <w:rsid w:val="792627D5"/>
    <w:rsid w:val="7AEB2F50"/>
    <w:rsid w:val="7AF5A7D0"/>
    <w:rsid w:val="7B374E96"/>
    <w:rsid w:val="7CA530F4"/>
    <w:rsid w:val="7EB45827"/>
    <w:rsid w:val="BDEFC7DB"/>
    <w:rsid w:val="F3766640"/>
    <w:rsid w:val="FF2FEAB5"/>
    <w:rsid w:val="FFFE7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fontstyle21"/>
    <w:basedOn w:val="7"/>
    <w:qFormat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</Words>
  <Characters>57</Characters>
  <Lines>1</Lines>
  <Paragraphs>1</Paragraphs>
  <TotalTime>1</TotalTime>
  <ScaleCrop>false</ScaleCrop>
  <LinksUpToDate>false</LinksUpToDate>
  <CharactersWithSpaces>65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2023-09-01T23:48:00Z</dcterms:created>
  <dc:creator>未定义</dc:creator>
  <cp:lastModifiedBy>user</cp:lastModifiedBy>
  <cp:lastPrinted>2025-02-09T14:13:00Z</cp:lastPrinted>
  <dcterms:modified xsi:type="dcterms:W3CDTF">2025-11-28T11:04:45Z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72F84FAB2C4F4321A7F50878CA8A7E5F_13</vt:lpwstr>
  </property>
</Properties>
</file>