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E50" w:rsidRPr="009F0910" w:rsidRDefault="00D52E50" w:rsidP="00B9229E">
      <w:pPr>
        <w:widowControl w:val="0"/>
        <w:adjustRightInd/>
        <w:snapToGrid/>
        <w:jc w:val="center"/>
        <w:rPr>
          <w:rFonts w:ascii="Times New Roman" w:eastAsia="黑体" w:hAnsi="Times New Roman"/>
          <w:b/>
          <w:bCs/>
          <w:kern w:val="2"/>
          <w:sz w:val="28"/>
          <w:szCs w:val="28"/>
        </w:rPr>
      </w:pPr>
      <w:r>
        <w:rPr>
          <w:rFonts w:ascii="Times New Roman" w:eastAsia="黑体" w:hAnsi="黑体" w:cs="黑体" w:hint="eastAsia"/>
          <w:b/>
          <w:bCs/>
          <w:kern w:val="2"/>
          <w:sz w:val="28"/>
          <w:szCs w:val="28"/>
        </w:rPr>
        <w:t>人参须</w:t>
      </w:r>
    </w:p>
    <w:p w:rsidR="00D52E50" w:rsidRPr="009F0910" w:rsidRDefault="00D52E50" w:rsidP="00B9229E">
      <w:pPr>
        <w:widowControl w:val="0"/>
        <w:adjustRightInd/>
        <w:snapToGrid/>
        <w:jc w:val="center"/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  <w:t>Ren</w:t>
      </w:r>
      <w:r w:rsidRPr="009F0910"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  <w:t>shenxu</w:t>
      </w:r>
      <w:proofErr w:type="spellEnd"/>
    </w:p>
    <w:p w:rsidR="00D52E50" w:rsidRPr="009F0910" w:rsidRDefault="00D52E50" w:rsidP="00B9229E">
      <w:pPr>
        <w:widowControl w:val="0"/>
        <w:adjustRightInd/>
        <w:snapToGrid/>
        <w:jc w:val="center"/>
        <w:rPr>
          <w:rFonts w:ascii="Times New Roman" w:eastAsia="宋体" w:hAnsi="Times New Roman"/>
          <w:b/>
          <w:bCs/>
          <w:kern w:val="2"/>
          <w:sz w:val="28"/>
          <w:szCs w:val="28"/>
        </w:rPr>
      </w:pPr>
      <w:proofErr w:type="gramStart"/>
      <w:r w:rsidRPr="009F0910">
        <w:rPr>
          <w:rFonts w:ascii="Times New Roman" w:eastAsia="宋体" w:hAnsi="Times New Roman" w:cs="Times New Roman"/>
          <w:b/>
          <w:bCs/>
          <w:kern w:val="2"/>
          <w:sz w:val="28"/>
          <w:szCs w:val="28"/>
        </w:rPr>
        <w:t>GINSENG  LEPTORADIX</w:t>
      </w:r>
      <w:proofErr w:type="gramEnd"/>
      <w:r>
        <w:rPr>
          <w:rFonts w:ascii="Times New Roman" w:eastAsia="宋体" w:hAnsi="Times New Roman" w:cs="Times New Roman"/>
          <w:b/>
          <w:bCs/>
          <w:kern w:val="2"/>
          <w:sz w:val="28"/>
          <w:szCs w:val="28"/>
        </w:rPr>
        <w:t xml:space="preserve">  </w:t>
      </w:r>
    </w:p>
    <w:p w:rsidR="00D52E50" w:rsidRPr="009F0910" w:rsidRDefault="00D52E50" w:rsidP="004F1F31">
      <w:pPr>
        <w:widowControl w:val="0"/>
        <w:adjustRightInd/>
        <w:snapToGrid/>
        <w:spacing w:line="36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本品为五加科植物人参</w:t>
      </w:r>
      <w:proofErr w:type="spellStart"/>
      <w:r w:rsidRPr="009F0910">
        <w:rPr>
          <w:rFonts w:ascii="Times New Roman" w:eastAsia="宋体" w:hAnsi="Times New Roman" w:cs="Times New Roman"/>
          <w:i/>
          <w:iCs/>
          <w:kern w:val="2"/>
          <w:sz w:val="21"/>
          <w:szCs w:val="21"/>
        </w:rPr>
        <w:t>Panax</w:t>
      </w:r>
      <w:proofErr w:type="spellEnd"/>
      <w:r w:rsidRPr="009F0910">
        <w:rPr>
          <w:rFonts w:ascii="Times New Roman" w:eastAsia="宋体" w:hAnsi="Times New Roman" w:cs="Times New Roman"/>
          <w:i/>
          <w:iCs/>
          <w:kern w:val="2"/>
          <w:sz w:val="21"/>
          <w:szCs w:val="21"/>
        </w:rPr>
        <w:t xml:space="preserve"> ginseng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proofErr w:type="spellStart"/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C.A.Mey</w:t>
      </w:r>
      <w:proofErr w:type="spellEnd"/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.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的栽培品（俗称园参）的</w:t>
      </w:r>
      <w:proofErr w:type="gramStart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干燥支根</w:t>
      </w:r>
      <w:proofErr w:type="gramEnd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及须根。多于秋季采挖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加工人参时，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取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下的支根或须根，洗净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晒干或烘干。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</w:p>
    <w:p w:rsidR="00D52E50" w:rsidRPr="009F0910" w:rsidRDefault="00D52E50" w:rsidP="004F1F31">
      <w:pPr>
        <w:widowControl w:val="0"/>
        <w:adjustRightInd/>
        <w:snapToGrid/>
        <w:spacing w:line="360" w:lineRule="exact"/>
        <w:ind w:firstLineChars="200" w:firstLine="422"/>
        <w:jc w:val="both"/>
        <w:rPr>
          <w:rFonts w:ascii="Times New Roman" w:eastAsia="宋体" w:hAnsi="Times New Roman"/>
          <w:kern w:val="2"/>
          <w:sz w:val="21"/>
          <w:szCs w:val="21"/>
        </w:rPr>
      </w:pPr>
      <w:r w:rsidRPr="009F0910">
        <w:rPr>
          <w:rFonts w:ascii="Times New Roman" w:eastAsia="黑体" w:hAnsi="黑体" w:cs="黑体" w:hint="eastAsia"/>
          <w:b/>
          <w:bCs/>
          <w:kern w:val="2"/>
          <w:sz w:val="21"/>
          <w:szCs w:val="21"/>
        </w:rPr>
        <w:t>【性状】</w:t>
      </w:r>
      <w:r w:rsidRPr="00DE5010">
        <w:rPr>
          <w:rFonts w:ascii="Times New Roman" w:eastAsia="宋体" w:hAnsi="Times New Roman" w:cs="宋体" w:hint="eastAsia"/>
          <w:kern w:val="2"/>
          <w:sz w:val="21"/>
          <w:szCs w:val="21"/>
        </w:rPr>
        <w:t>本品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较粗的支根，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习称“白直须”，呈圆柱形或长圆锥形，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较直或略弯曲，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下部偶有分枝，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长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3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15cm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，直径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0.1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1.0cm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。表面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灰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黄色，其上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偶见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不明显的细小疣状突起。质脆，易折断，断面平坦，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黄白色，木质部、韧皮部和形成层清晰可见。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较纤细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的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须根，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习称“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白弯须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”，常成团状，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表面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灰黄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色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，有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细小疣状突起。气微香而特异，味微苦、微甘。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者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常混成团状，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习称“白混须”。</w:t>
      </w:r>
    </w:p>
    <w:p w:rsidR="00D52E50" w:rsidRPr="009F0910" w:rsidRDefault="00D52E50" w:rsidP="004F1F31">
      <w:pPr>
        <w:widowControl w:val="0"/>
        <w:adjustRightInd/>
        <w:snapToGrid/>
        <w:spacing w:line="360" w:lineRule="exact"/>
        <w:ind w:firstLineChars="200" w:firstLine="422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9F0910">
        <w:rPr>
          <w:rFonts w:ascii="Times New Roman" w:eastAsia="黑体" w:hAnsi="黑体" w:cs="黑体" w:hint="eastAsia"/>
          <w:b/>
          <w:bCs/>
          <w:kern w:val="2"/>
          <w:sz w:val="21"/>
          <w:szCs w:val="21"/>
        </w:rPr>
        <w:t>【</w:t>
      </w:r>
      <w:r w:rsidRPr="009F0910">
        <w:rPr>
          <w:rFonts w:ascii="Times New Roman" w:eastAsia="黑体" w:hAnsi="黑体" w:cs="黑体" w:hint="eastAsia"/>
          <w:kern w:val="2"/>
          <w:sz w:val="21"/>
          <w:szCs w:val="21"/>
        </w:rPr>
        <w:t>鉴别</w:t>
      </w:r>
      <w:r w:rsidRPr="009F0910">
        <w:rPr>
          <w:rFonts w:ascii="Times New Roman" w:eastAsia="黑体" w:hAnsi="黑体" w:cs="黑体" w:hint="eastAsia"/>
          <w:b/>
          <w:bCs/>
          <w:kern w:val="2"/>
          <w:sz w:val="21"/>
          <w:szCs w:val="21"/>
        </w:rPr>
        <w:t>】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(1)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本品粉末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黄白色。树脂道碎片易见，含黄色块状分泌物。草酸钙簇晶较小，棱角锐尖。木栓细胞</w:t>
      </w:r>
      <w:proofErr w:type="gramStart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表面观类方形</w:t>
      </w:r>
      <w:proofErr w:type="gramEnd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或多角形，壁薄，略波状弯曲。网纹及梯纹导管清晰可见。淀粉粒甚多，单粒类球形，脐点点状、裂隙状或三叉状；复粒由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2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6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分粒组成。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</w:p>
    <w:p w:rsidR="00D52E50" w:rsidRPr="009F0910" w:rsidRDefault="00D52E50" w:rsidP="004F1F31">
      <w:pPr>
        <w:widowControl w:val="0"/>
        <w:adjustRightInd/>
        <w:snapToGrid/>
        <w:spacing w:line="36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(2)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取本品粉末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1g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，加乙醚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40ml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，加热回流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小时</w:t>
      </w:r>
      <w:r w:rsidRPr="004904D3">
        <w:rPr>
          <w:rFonts w:ascii="Times New Roman" w:eastAsia="宋体" w:hAnsi="Times New Roman" w:cs="宋体" w:hint="eastAsia"/>
          <w:kern w:val="2"/>
          <w:sz w:val="21"/>
          <w:szCs w:val="21"/>
        </w:rPr>
        <w:t>，弃去乙醚溶液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；</w:t>
      </w:r>
      <w:proofErr w:type="gramStart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药渣挥干溶剂</w:t>
      </w:r>
      <w:proofErr w:type="gramEnd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，加水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0.5ml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，搅拌湿润，加水饱和正丁醇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10ml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，超声处理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30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分钟，吸取上清液加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3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倍量氨试液，摇匀，放置分层，取上清液蒸干，残渣加甲醇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1ml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使溶解，作为</w:t>
      </w:r>
      <w:proofErr w:type="gramStart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供试品溶液</w:t>
      </w:r>
      <w:proofErr w:type="gramEnd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。另取人参对照药材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1g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，同法制成对照药材溶液</w:t>
      </w:r>
      <w:r w:rsidRPr="004904D3">
        <w:rPr>
          <w:rFonts w:ascii="Times New Roman" w:eastAsia="宋体" w:hAnsi="Times New Roman" w:cs="宋体" w:hint="eastAsia"/>
          <w:kern w:val="2"/>
          <w:sz w:val="21"/>
          <w:szCs w:val="21"/>
        </w:rPr>
        <w:t>。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再取人参皂苷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Rb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  <w:vertAlign w:val="subscript"/>
        </w:rPr>
        <w:t>1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对照品、人参皂苷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Re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对照品、人参皂苷</w:t>
      </w:r>
      <w:proofErr w:type="spellStart"/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R</w:t>
      </w:r>
      <w:r w:rsidRPr="004A0AD9">
        <w:rPr>
          <w:rFonts w:ascii="Times New Roman" w:eastAsia="宋体" w:hAnsi="Times New Roman" w:cs="Times New Roman"/>
          <w:kern w:val="2"/>
          <w:sz w:val="21"/>
          <w:szCs w:val="21"/>
        </w:rPr>
        <w:t>f</w:t>
      </w:r>
      <w:proofErr w:type="spellEnd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对照品及人参皂苷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Rg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  <w:vertAlign w:val="subscript"/>
        </w:rPr>
        <w:t>1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对照品，加甲醇制成每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1ml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各含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2mg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的混合溶液，作为对照品溶液。照薄层色谱法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sz w:val="21"/>
          <w:szCs w:val="21"/>
        </w:rPr>
        <w:t>《中国药典》</w:t>
      </w:r>
      <w:r>
        <w:rPr>
          <w:rFonts w:ascii="Times New Roman" w:eastAsia="宋体" w:hAnsi="Times New Roman" w:cs="Times New Roman"/>
          <w:sz w:val="21"/>
          <w:szCs w:val="21"/>
        </w:rPr>
        <w:t>2015</w:t>
      </w:r>
      <w:r>
        <w:rPr>
          <w:rFonts w:ascii="Times New Roman" w:eastAsia="宋体" w:hAnsi="Times New Roman" w:cs="宋体" w:hint="eastAsia"/>
          <w:sz w:val="21"/>
          <w:szCs w:val="21"/>
        </w:rPr>
        <w:t>年版四部通则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0502)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试验，吸取上述三种溶液各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2μl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，分别点于同一硅胶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G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薄层板上，以三氯甲烷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-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乙酸乙酯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-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甲醇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-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水（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15:40:22:10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）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10</w:t>
      </w:r>
      <w:r w:rsidRPr="009F0910">
        <w:rPr>
          <w:rFonts w:ascii="Times New Roman" w:eastAsia="宋体" w:hAnsi="宋体" w:cs="宋体" w:hint="eastAsia"/>
          <w:kern w:val="2"/>
          <w:sz w:val="21"/>
          <w:szCs w:val="21"/>
        </w:rPr>
        <w:t>℃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以下放置的下层溶液为展开剂，展开，取出，晾干，</w:t>
      </w:r>
      <w:proofErr w:type="gramStart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喷以</w:t>
      </w:r>
      <w:proofErr w:type="gramEnd"/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10%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硫酸乙醇溶液，在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105</w:t>
      </w:r>
      <w:r w:rsidRPr="009F0910">
        <w:rPr>
          <w:rFonts w:ascii="宋体" w:eastAsia="宋体" w:hAnsi="宋体" w:cs="宋体" w:hint="eastAsia"/>
          <w:kern w:val="2"/>
          <w:sz w:val="21"/>
          <w:szCs w:val="21"/>
        </w:rPr>
        <w:t>℃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加热至斑点显色清晰，分别置日光及紫外光灯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(365nm)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下检视。供试品色谱中，在与对照药材色谱和对照品色</w:t>
      </w:r>
      <w:proofErr w:type="gramStart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谱相应</w:t>
      </w:r>
      <w:proofErr w:type="gramEnd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位置上，分别</w:t>
      </w:r>
      <w:proofErr w:type="gramStart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显相同</w:t>
      </w:r>
      <w:proofErr w:type="gramEnd"/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颜色的斑点或荧光斑点。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t>【</w:t>
      </w:r>
      <w:r>
        <w:rPr>
          <w:rFonts w:ascii="Times New Roman" w:eastAsia="黑体" w:hAnsi="黑体" w:cs="黑体" w:hint="eastAsia"/>
          <w:b/>
          <w:bCs/>
          <w:sz w:val="21"/>
          <w:szCs w:val="21"/>
        </w:rPr>
        <w:t>检查</w:t>
      </w:r>
      <w:r>
        <w:rPr>
          <w:rFonts w:ascii="Times New Roman" w:eastAsia="黑体" w:hAnsi="黑体" w:cs="黑体" w:hint="eastAsia"/>
          <w:sz w:val="21"/>
          <w:szCs w:val="21"/>
        </w:rPr>
        <w:t>】</w:t>
      </w:r>
      <w:r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9F0910">
        <w:rPr>
          <w:rFonts w:ascii="黑体" w:eastAsia="黑体" w:hAnsi="黑体" w:cs="黑体" w:hint="eastAsia"/>
          <w:b/>
          <w:bCs/>
          <w:sz w:val="21"/>
          <w:szCs w:val="21"/>
        </w:rPr>
        <w:t>水分</w:t>
      </w:r>
      <w:r>
        <w:rPr>
          <w:rFonts w:ascii="Times New Roman" w:eastAsia="宋体" w:hAnsi="Times New Roman" w:cs="Times New Roman"/>
          <w:sz w:val="21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1"/>
          <w:szCs w:val="21"/>
        </w:rPr>
        <w:t>不得过</w:t>
      </w:r>
      <w:r>
        <w:rPr>
          <w:rFonts w:ascii="Times New Roman" w:eastAsia="宋体" w:hAnsi="Times New Roman" w:cs="Times New Roman"/>
          <w:sz w:val="21"/>
          <w:szCs w:val="21"/>
        </w:rPr>
        <w:t>13.0%</w:t>
      </w:r>
      <w:r>
        <w:rPr>
          <w:rFonts w:ascii="Times New Roman" w:eastAsia="宋体" w:hAnsi="Times New Roman" w:cs="宋体" w:hint="eastAsia"/>
          <w:sz w:val="21"/>
          <w:szCs w:val="21"/>
        </w:rPr>
        <w:t>（《中国药典》</w:t>
      </w:r>
      <w:r>
        <w:rPr>
          <w:rFonts w:ascii="Times New Roman" w:eastAsia="宋体" w:hAnsi="Times New Roman" w:cs="Times New Roman"/>
          <w:sz w:val="21"/>
          <w:szCs w:val="21"/>
        </w:rPr>
        <w:t>2015</w:t>
      </w:r>
      <w:r>
        <w:rPr>
          <w:rFonts w:ascii="Times New Roman" w:eastAsia="宋体" w:hAnsi="Times New Roman" w:cs="宋体" w:hint="eastAsia"/>
          <w:sz w:val="21"/>
          <w:szCs w:val="21"/>
        </w:rPr>
        <w:t>年版四部通则</w:t>
      </w:r>
      <w:r>
        <w:rPr>
          <w:rFonts w:ascii="Times New Roman" w:eastAsia="宋体" w:hAnsi="Times New Roman" w:cs="Times New Roman"/>
          <w:sz w:val="21"/>
          <w:szCs w:val="21"/>
        </w:rPr>
        <w:t>0832</w:t>
      </w:r>
      <w:r>
        <w:rPr>
          <w:rFonts w:ascii="Times New Roman" w:eastAsia="宋体" w:hAnsi="Times New Roman" w:cs="宋体" w:hint="eastAsia"/>
          <w:sz w:val="21"/>
          <w:szCs w:val="21"/>
        </w:rPr>
        <w:t>第二法）</w:t>
      </w:r>
    </w:p>
    <w:p w:rsidR="00D52E50" w:rsidRDefault="00D52E50" w:rsidP="004F1F31">
      <w:pPr>
        <w:spacing w:line="360" w:lineRule="exact"/>
        <w:ind w:firstLineChars="250" w:firstLine="527"/>
        <w:jc w:val="both"/>
        <w:rPr>
          <w:rFonts w:ascii="Times New Roman" w:eastAsia="宋体" w:hAnsi="Times New Roman"/>
          <w:sz w:val="21"/>
          <w:szCs w:val="21"/>
        </w:rPr>
      </w:pPr>
      <w:r w:rsidRPr="009F0910">
        <w:rPr>
          <w:rFonts w:ascii="黑体" w:eastAsia="黑体" w:hAnsi="黑体" w:cs="黑体" w:hint="eastAsia"/>
          <w:b/>
          <w:bCs/>
          <w:sz w:val="21"/>
          <w:szCs w:val="21"/>
        </w:rPr>
        <w:t>总灰分</w:t>
      </w:r>
      <w:r>
        <w:rPr>
          <w:rFonts w:ascii="Times New Roman" w:eastAsia="宋体" w:hAnsi="Times New Roman" w:cs="Times New Roman"/>
          <w:sz w:val="21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1"/>
          <w:szCs w:val="21"/>
        </w:rPr>
        <w:t>不得过</w:t>
      </w:r>
      <w:r>
        <w:rPr>
          <w:rFonts w:ascii="Times New Roman" w:eastAsia="宋体" w:hAnsi="Times New Roman" w:cs="Times New Roman"/>
          <w:sz w:val="21"/>
          <w:szCs w:val="21"/>
        </w:rPr>
        <w:t>5.5%</w:t>
      </w:r>
      <w:r>
        <w:rPr>
          <w:rFonts w:ascii="Times New Roman" w:eastAsia="宋体" w:hAnsi="Times New Roman" w:cs="宋体" w:hint="eastAsia"/>
          <w:sz w:val="21"/>
          <w:szCs w:val="21"/>
        </w:rPr>
        <w:t>（《中国药典》</w:t>
      </w:r>
      <w:r>
        <w:rPr>
          <w:rFonts w:ascii="Times New Roman" w:eastAsia="宋体" w:hAnsi="Times New Roman" w:cs="Times New Roman"/>
          <w:sz w:val="21"/>
          <w:szCs w:val="21"/>
        </w:rPr>
        <w:t>2015</w:t>
      </w:r>
      <w:r>
        <w:rPr>
          <w:rFonts w:ascii="Times New Roman" w:eastAsia="宋体" w:hAnsi="Times New Roman" w:cs="宋体" w:hint="eastAsia"/>
          <w:sz w:val="21"/>
          <w:szCs w:val="21"/>
        </w:rPr>
        <w:t>年版四部通则</w:t>
      </w:r>
      <w:r>
        <w:rPr>
          <w:rFonts w:ascii="Times New Roman" w:eastAsia="宋体" w:hAnsi="Times New Roman" w:cs="Times New Roman"/>
          <w:sz w:val="21"/>
          <w:szCs w:val="21"/>
        </w:rPr>
        <w:t>2302</w:t>
      </w:r>
      <w:r>
        <w:rPr>
          <w:rFonts w:ascii="Times New Roman" w:eastAsia="宋体" w:hAnsi="Times New Roman" w:cs="宋体" w:hint="eastAsia"/>
          <w:sz w:val="21"/>
          <w:szCs w:val="21"/>
        </w:rPr>
        <w:t>）</w:t>
      </w:r>
    </w:p>
    <w:p w:rsidR="00D52E50" w:rsidRDefault="00D52E50" w:rsidP="004F1F31">
      <w:pPr>
        <w:spacing w:line="360" w:lineRule="exact"/>
        <w:ind w:firstLineChars="250" w:firstLine="527"/>
        <w:jc w:val="both"/>
        <w:rPr>
          <w:rFonts w:ascii="Times New Roman" w:eastAsia="宋体" w:hAnsi="Times New Roman"/>
          <w:sz w:val="21"/>
          <w:szCs w:val="21"/>
        </w:rPr>
      </w:pPr>
      <w:r w:rsidRPr="009F0910">
        <w:rPr>
          <w:rFonts w:ascii="黑体" w:eastAsia="黑体" w:hAnsi="黑体" w:cs="黑体" w:hint="eastAsia"/>
          <w:b/>
          <w:bCs/>
          <w:sz w:val="21"/>
          <w:szCs w:val="21"/>
        </w:rPr>
        <w:t>农药残留量</w:t>
      </w:r>
      <w:r>
        <w:rPr>
          <w:rFonts w:ascii="Times New Roman" w:eastAsia="宋体" w:hAnsi="Times New Roman" w:cs="Times New Roman"/>
          <w:sz w:val="21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1"/>
          <w:szCs w:val="21"/>
        </w:rPr>
        <w:t>照农药残留量测定法（《中国药典》</w:t>
      </w:r>
      <w:r>
        <w:rPr>
          <w:rFonts w:ascii="Times New Roman" w:eastAsia="宋体" w:hAnsi="Times New Roman" w:cs="Times New Roman"/>
          <w:sz w:val="21"/>
          <w:szCs w:val="21"/>
        </w:rPr>
        <w:t>2015</w:t>
      </w:r>
      <w:r>
        <w:rPr>
          <w:rFonts w:ascii="Times New Roman" w:eastAsia="宋体" w:hAnsi="Times New Roman" w:cs="宋体" w:hint="eastAsia"/>
          <w:sz w:val="21"/>
          <w:szCs w:val="21"/>
        </w:rPr>
        <w:t>年版四部通则</w:t>
      </w:r>
      <w:r>
        <w:rPr>
          <w:rFonts w:ascii="Times New Roman" w:eastAsia="宋体" w:hAnsi="Times New Roman" w:cs="Times New Roman"/>
          <w:sz w:val="21"/>
          <w:szCs w:val="21"/>
        </w:rPr>
        <w:t>2341</w:t>
      </w:r>
      <w:r>
        <w:rPr>
          <w:rFonts w:ascii="Times New Roman" w:eastAsia="宋体" w:hAnsi="Times New Roman" w:cs="宋体" w:hint="eastAsia"/>
          <w:sz w:val="21"/>
          <w:szCs w:val="21"/>
        </w:rPr>
        <w:t>有机氯类农药残留量测定法</w:t>
      </w:r>
      <w:r>
        <w:rPr>
          <w:rFonts w:ascii="Times New Roman" w:eastAsia="宋体" w:hAnsi="Times New Roman" w:cs="Times New Roman"/>
          <w:sz w:val="21"/>
          <w:szCs w:val="21"/>
        </w:rPr>
        <w:t>-</w:t>
      </w:r>
      <w:r>
        <w:rPr>
          <w:rFonts w:ascii="Times New Roman" w:eastAsia="宋体" w:hAnsi="Times New Roman" w:cs="宋体" w:hint="eastAsia"/>
          <w:sz w:val="21"/>
          <w:szCs w:val="21"/>
        </w:rPr>
        <w:t>第二法）测定。</w:t>
      </w:r>
    </w:p>
    <w:p w:rsidR="00D52E50" w:rsidRPr="004904D3" w:rsidRDefault="00D52E50" w:rsidP="004F1F31">
      <w:pPr>
        <w:widowControl w:val="0"/>
        <w:autoSpaceDE w:val="0"/>
        <w:autoSpaceDN w:val="0"/>
        <w:snapToGrid/>
        <w:spacing w:line="360" w:lineRule="exact"/>
        <w:ind w:firstLineChars="250" w:firstLine="525"/>
        <w:jc w:val="both"/>
        <w:rPr>
          <w:rFonts w:ascii="Times New Roman" w:eastAsia="宋体" w:hAnsi="Times New Roman"/>
          <w:sz w:val="21"/>
          <w:szCs w:val="21"/>
        </w:rPr>
      </w:pPr>
      <w:proofErr w:type="gramStart"/>
      <w:r w:rsidRPr="004904D3">
        <w:rPr>
          <w:rFonts w:ascii="Times New Roman" w:eastAsia="宋体" w:hAnsi="Times New Roman" w:cs="宋体" w:hint="eastAsia"/>
          <w:sz w:val="21"/>
          <w:szCs w:val="21"/>
        </w:rPr>
        <w:t>含总六六六</w:t>
      </w:r>
      <w:proofErr w:type="gramEnd"/>
      <w:r w:rsidRPr="004904D3">
        <w:rPr>
          <w:rFonts w:ascii="Times New Roman" w:eastAsia="宋体" w:hAnsi="Times New Roman" w:cs="宋体" w:hint="eastAsia"/>
          <w:sz w:val="21"/>
          <w:szCs w:val="21"/>
        </w:rPr>
        <w:t>（</w:t>
      </w:r>
      <w:r w:rsidRPr="004904D3">
        <w:rPr>
          <w:rFonts w:ascii="Times New Roman" w:eastAsia="宋体" w:hAnsi="Times New Roman" w:cs="Times New Roman"/>
          <w:sz w:val="21"/>
          <w:szCs w:val="21"/>
        </w:rPr>
        <w:t>α-BHC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4904D3">
        <w:rPr>
          <w:rFonts w:ascii="Times New Roman" w:eastAsia="宋体" w:hAnsi="Times New Roman" w:cs="Times New Roman"/>
          <w:sz w:val="21"/>
          <w:szCs w:val="21"/>
        </w:rPr>
        <w:t>β-BHC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4904D3">
        <w:rPr>
          <w:rFonts w:ascii="Times New Roman" w:eastAsia="宋体" w:hAnsi="Times New Roman" w:cs="Times New Roman"/>
          <w:sz w:val="21"/>
          <w:szCs w:val="21"/>
        </w:rPr>
        <w:t>γ-BHC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4904D3">
        <w:rPr>
          <w:rFonts w:ascii="Times New Roman" w:eastAsia="宋体" w:hAnsi="Times New Roman" w:cs="Times New Roman"/>
          <w:sz w:val="21"/>
          <w:szCs w:val="21"/>
        </w:rPr>
        <w:t>δ-BHC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之和）不得过</w:t>
      </w:r>
      <w:r w:rsidRPr="004904D3">
        <w:rPr>
          <w:rFonts w:ascii="Times New Roman" w:eastAsia="宋体" w:hAnsi="Times New Roman" w:cs="Times New Roman"/>
          <w:sz w:val="21"/>
          <w:szCs w:val="21"/>
        </w:rPr>
        <w:t>0.2mg/kg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；总滴滴涕（</w:t>
      </w:r>
      <w:proofErr w:type="spellStart"/>
      <w:r w:rsidRPr="004904D3">
        <w:rPr>
          <w:rFonts w:ascii="Times New Roman" w:eastAsia="宋体" w:hAnsi="Times New Roman" w:cs="Times New Roman"/>
          <w:i/>
          <w:iCs/>
          <w:sz w:val="21"/>
          <w:szCs w:val="21"/>
        </w:rPr>
        <w:t>p,p</w:t>
      </w:r>
      <w:proofErr w:type="spellEnd"/>
      <w:r w:rsidRPr="004904D3">
        <w:rPr>
          <w:rFonts w:ascii="Times New Roman" w:eastAsia="宋体" w:hAnsi="Times New Roman" w:cs="Times New Roman"/>
          <w:i/>
          <w:iCs/>
          <w:sz w:val="21"/>
          <w:szCs w:val="21"/>
        </w:rPr>
        <w:t>′</w:t>
      </w:r>
      <w:r w:rsidRPr="004904D3">
        <w:rPr>
          <w:rFonts w:ascii="Times New Roman" w:eastAsia="宋体" w:hAnsi="Times New Roman" w:cs="Times New Roman"/>
          <w:sz w:val="21"/>
          <w:szCs w:val="21"/>
        </w:rPr>
        <w:t>-DDE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、</w:t>
      </w:r>
      <w:proofErr w:type="spellStart"/>
      <w:r w:rsidRPr="004904D3">
        <w:rPr>
          <w:rFonts w:ascii="Times New Roman" w:eastAsia="宋体" w:hAnsi="Times New Roman" w:cs="Times New Roman"/>
          <w:i/>
          <w:iCs/>
          <w:sz w:val="21"/>
          <w:szCs w:val="21"/>
        </w:rPr>
        <w:t>p,p</w:t>
      </w:r>
      <w:proofErr w:type="spellEnd"/>
      <w:r w:rsidRPr="004904D3">
        <w:rPr>
          <w:rFonts w:ascii="Times New Roman" w:eastAsia="宋体" w:hAnsi="Times New Roman" w:cs="Times New Roman"/>
          <w:i/>
          <w:iCs/>
          <w:sz w:val="21"/>
          <w:szCs w:val="21"/>
        </w:rPr>
        <w:t>′</w:t>
      </w:r>
      <w:r w:rsidRPr="004904D3">
        <w:rPr>
          <w:rFonts w:ascii="Times New Roman" w:eastAsia="宋体" w:hAnsi="Times New Roman" w:cs="Times New Roman"/>
          <w:sz w:val="21"/>
          <w:szCs w:val="21"/>
        </w:rPr>
        <w:t xml:space="preserve">-DDD  </w:t>
      </w:r>
      <w:proofErr w:type="spellStart"/>
      <w:r w:rsidRPr="004904D3">
        <w:rPr>
          <w:rFonts w:ascii="Times New Roman" w:eastAsia="宋体" w:hAnsi="Times New Roman" w:cs="Times New Roman"/>
          <w:i/>
          <w:iCs/>
          <w:sz w:val="21"/>
          <w:szCs w:val="21"/>
        </w:rPr>
        <w:t>o,p</w:t>
      </w:r>
      <w:proofErr w:type="spellEnd"/>
      <w:r w:rsidRPr="004904D3">
        <w:rPr>
          <w:rFonts w:ascii="Times New Roman" w:eastAsia="宋体" w:hAnsi="Times New Roman" w:cs="Times New Roman"/>
          <w:sz w:val="21"/>
          <w:szCs w:val="21"/>
        </w:rPr>
        <w:t xml:space="preserve">′-DDT  </w:t>
      </w:r>
      <w:proofErr w:type="spellStart"/>
      <w:r w:rsidRPr="004904D3">
        <w:rPr>
          <w:rFonts w:ascii="Times New Roman" w:eastAsia="宋体" w:hAnsi="Times New Roman" w:cs="Times New Roman"/>
          <w:i/>
          <w:iCs/>
          <w:sz w:val="21"/>
          <w:szCs w:val="21"/>
        </w:rPr>
        <w:t>p,p</w:t>
      </w:r>
      <w:proofErr w:type="spellEnd"/>
      <w:r w:rsidRPr="004904D3">
        <w:rPr>
          <w:rFonts w:ascii="Times New Roman" w:eastAsia="宋体" w:hAnsi="Times New Roman" w:cs="Times New Roman"/>
          <w:i/>
          <w:iCs/>
          <w:sz w:val="21"/>
          <w:szCs w:val="21"/>
        </w:rPr>
        <w:t>′</w:t>
      </w:r>
      <w:r w:rsidRPr="004904D3">
        <w:rPr>
          <w:rFonts w:ascii="Times New Roman" w:eastAsia="宋体" w:hAnsi="Times New Roman" w:cs="Times New Roman"/>
          <w:sz w:val="21"/>
          <w:szCs w:val="21"/>
        </w:rPr>
        <w:t>-DDT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之和）不得过</w:t>
      </w:r>
      <w:r w:rsidRPr="004904D3">
        <w:rPr>
          <w:rFonts w:ascii="Times New Roman" w:eastAsia="宋体" w:hAnsi="Times New Roman" w:cs="Times New Roman"/>
          <w:sz w:val="21"/>
          <w:szCs w:val="21"/>
        </w:rPr>
        <w:t>0.2mg/kg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；五氯硝基苯不得过</w:t>
      </w:r>
      <w:r w:rsidRPr="004904D3">
        <w:rPr>
          <w:rFonts w:ascii="Times New Roman" w:eastAsia="宋体" w:hAnsi="Times New Roman" w:cs="Times New Roman"/>
          <w:sz w:val="21"/>
          <w:szCs w:val="21"/>
        </w:rPr>
        <w:t>0.1mg/kg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；六氯苯不得过</w:t>
      </w:r>
      <w:r w:rsidRPr="004904D3">
        <w:rPr>
          <w:rFonts w:ascii="Times New Roman" w:eastAsia="宋体" w:hAnsi="Times New Roman" w:cs="Times New Roman"/>
          <w:sz w:val="21"/>
          <w:szCs w:val="21"/>
        </w:rPr>
        <w:t>0.1mg/kg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；七氯（七氯、环</w:t>
      </w:r>
      <w:proofErr w:type="gramStart"/>
      <w:r w:rsidRPr="004904D3">
        <w:rPr>
          <w:rFonts w:ascii="Times New Roman" w:eastAsia="宋体" w:hAnsi="Times New Roman" w:cs="宋体" w:hint="eastAsia"/>
          <w:sz w:val="21"/>
          <w:szCs w:val="21"/>
        </w:rPr>
        <w:t>氧七氯之</w:t>
      </w:r>
      <w:proofErr w:type="gramEnd"/>
      <w:r w:rsidRPr="004904D3">
        <w:rPr>
          <w:rFonts w:ascii="Times New Roman" w:eastAsia="宋体" w:hAnsi="Times New Roman" w:cs="宋体" w:hint="eastAsia"/>
          <w:sz w:val="21"/>
          <w:szCs w:val="21"/>
        </w:rPr>
        <w:t>和）不得过</w:t>
      </w:r>
      <w:r w:rsidRPr="004904D3">
        <w:rPr>
          <w:rFonts w:ascii="Times New Roman" w:eastAsia="宋体" w:hAnsi="Times New Roman" w:cs="Times New Roman"/>
          <w:sz w:val="21"/>
          <w:szCs w:val="21"/>
        </w:rPr>
        <w:t>0.05mg/kg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；艾氏</w:t>
      </w:r>
      <w:proofErr w:type="gramStart"/>
      <w:r w:rsidRPr="004904D3">
        <w:rPr>
          <w:rFonts w:ascii="Times New Roman" w:eastAsia="宋体" w:hAnsi="Times New Roman" w:cs="宋体" w:hint="eastAsia"/>
          <w:sz w:val="21"/>
          <w:szCs w:val="21"/>
        </w:rPr>
        <w:t>剂不得</w:t>
      </w:r>
      <w:proofErr w:type="gramEnd"/>
      <w:r w:rsidRPr="004904D3">
        <w:rPr>
          <w:rFonts w:ascii="Times New Roman" w:eastAsia="宋体" w:hAnsi="Times New Roman" w:cs="宋体" w:hint="eastAsia"/>
          <w:sz w:val="21"/>
          <w:szCs w:val="21"/>
        </w:rPr>
        <w:t>过</w:t>
      </w:r>
      <w:r w:rsidRPr="004904D3">
        <w:rPr>
          <w:rFonts w:ascii="Times New Roman" w:eastAsia="宋体" w:hAnsi="Times New Roman" w:cs="Times New Roman"/>
          <w:sz w:val="21"/>
          <w:szCs w:val="21"/>
        </w:rPr>
        <w:t>0.05mg/kg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；氯丹（顺式氯丹、反式氯丹、氧化氯丹之和）不得过</w:t>
      </w:r>
      <w:r w:rsidRPr="004904D3">
        <w:rPr>
          <w:rFonts w:ascii="Times New Roman" w:eastAsia="宋体" w:hAnsi="Times New Roman" w:cs="Times New Roman"/>
          <w:sz w:val="21"/>
          <w:szCs w:val="21"/>
        </w:rPr>
        <w:t>0.1mg/kg</w:t>
      </w:r>
      <w:r w:rsidRPr="004904D3">
        <w:rPr>
          <w:rFonts w:ascii="Times New Roman" w:eastAsia="宋体" w:hAnsi="Times New Roman" w:cs="宋体" w:hint="eastAsia"/>
          <w:sz w:val="21"/>
          <w:szCs w:val="21"/>
        </w:rPr>
        <w:t>。</w:t>
      </w:r>
    </w:p>
    <w:p w:rsidR="00D52E50" w:rsidRDefault="00D52E50" w:rsidP="00B9229E">
      <w:pPr>
        <w:spacing w:line="360" w:lineRule="exact"/>
        <w:ind w:firstLine="20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t>【含量测定】</w:t>
      </w:r>
      <w:r>
        <w:rPr>
          <w:rFonts w:ascii="Times New Roman" w:eastAsia="宋体" w:hAnsi="Times New Roman" w:cs="宋体" w:hint="eastAsia"/>
          <w:sz w:val="21"/>
          <w:szCs w:val="21"/>
        </w:rPr>
        <w:t>照高效液相色谱法（《中国药典》</w:t>
      </w:r>
      <w:r>
        <w:rPr>
          <w:rFonts w:ascii="Times New Roman" w:eastAsia="宋体" w:hAnsi="Times New Roman" w:cs="Times New Roman"/>
          <w:sz w:val="21"/>
          <w:szCs w:val="21"/>
        </w:rPr>
        <w:t>2015</w:t>
      </w:r>
      <w:r>
        <w:rPr>
          <w:rFonts w:ascii="Times New Roman" w:eastAsia="宋体" w:hAnsi="Times New Roman" w:cs="宋体" w:hint="eastAsia"/>
          <w:sz w:val="21"/>
          <w:szCs w:val="21"/>
        </w:rPr>
        <w:t>年版四部通则</w:t>
      </w:r>
      <w:r>
        <w:rPr>
          <w:rFonts w:ascii="Times New Roman" w:eastAsia="宋体" w:hAnsi="Times New Roman" w:cs="Times New Roman"/>
          <w:sz w:val="21"/>
          <w:szCs w:val="21"/>
        </w:rPr>
        <w:t>0512</w:t>
      </w:r>
      <w:r>
        <w:rPr>
          <w:rFonts w:ascii="Times New Roman" w:eastAsia="宋体" w:hAnsi="Times New Roman" w:cs="宋体" w:hint="eastAsia"/>
          <w:sz w:val="21"/>
          <w:szCs w:val="21"/>
        </w:rPr>
        <w:t>）测定。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lastRenderedPageBreak/>
        <w:t>色谱条件与系统适用性试验</w:t>
      </w:r>
      <w:r>
        <w:rPr>
          <w:rFonts w:ascii="Times New Roman" w:eastAsia="黑体" w:hAnsi="黑体" w:cs="Times New Roman"/>
          <w:sz w:val="21"/>
          <w:szCs w:val="21"/>
        </w:rPr>
        <w:t xml:space="preserve">   </w:t>
      </w:r>
      <w:r>
        <w:rPr>
          <w:rFonts w:ascii="Times New Roman" w:eastAsia="宋体" w:hAnsi="Times New Roman" w:cs="宋体" w:hint="eastAsia"/>
          <w:sz w:val="21"/>
          <w:szCs w:val="21"/>
        </w:rPr>
        <w:t>以十八烷基硅烷键合硅胶为填充剂；以乙腈为流动相</w:t>
      </w:r>
      <w:r>
        <w:rPr>
          <w:rFonts w:ascii="Times New Roman" w:eastAsia="宋体" w:hAnsi="Times New Roman" w:cs="Times New Roman"/>
          <w:sz w:val="21"/>
          <w:szCs w:val="21"/>
        </w:rPr>
        <w:t xml:space="preserve">A </w:t>
      </w:r>
      <w:r>
        <w:rPr>
          <w:rFonts w:ascii="Times New Roman" w:eastAsia="宋体" w:hAnsi="Times New Roman" w:cs="宋体" w:hint="eastAsia"/>
          <w:sz w:val="21"/>
          <w:szCs w:val="21"/>
        </w:rPr>
        <w:t>，以水为流动相</w:t>
      </w:r>
      <w:r>
        <w:rPr>
          <w:rFonts w:ascii="Times New Roman" w:eastAsia="宋体" w:hAnsi="Times New Roman" w:cs="Times New Roman"/>
          <w:sz w:val="21"/>
          <w:szCs w:val="21"/>
        </w:rPr>
        <w:t>B ,</w:t>
      </w:r>
      <w:r>
        <w:rPr>
          <w:rFonts w:ascii="Times New Roman" w:eastAsia="宋体" w:hAnsi="Times New Roman" w:cs="宋体" w:hint="eastAsia"/>
          <w:sz w:val="21"/>
          <w:szCs w:val="21"/>
        </w:rPr>
        <w:t>按下表中的规定进行梯度洗脱；检测波长为</w:t>
      </w:r>
      <w:r>
        <w:rPr>
          <w:rFonts w:ascii="Times New Roman" w:eastAsia="宋体" w:hAnsi="Times New Roman" w:cs="Times New Roman"/>
          <w:sz w:val="21"/>
          <w:szCs w:val="21"/>
        </w:rPr>
        <w:t>203nm</w:t>
      </w:r>
      <w:r>
        <w:rPr>
          <w:rFonts w:ascii="Times New Roman" w:eastAsia="宋体" w:hAnsi="Times New Roman" w:cs="宋体" w:hint="eastAsia"/>
          <w:sz w:val="21"/>
          <w:szCs w:val="21"/>
        </w:rPr>
        <w:t>。理论板数按人参皂苷</w:t>
      </w:r>
      <w:r>
        <w:rPr>
          <w:rFonts w:ascii="Times New Roman" w:eastAsia="宋体" w:hAnsi="Times New Roman" w:cs="Times New Roman"/>
          <w:sz w:val="21"/>
          <w:szCs w:val="21"/>
        </w:rPr>
        <w:t>Rg</w:t>
      </w:r>
      <w:r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proofErr w:type="gramStart"/>
      <w:r>
        <w:rPr>
          <w:rFonts w:ascii="Times New Roman" w:eastAsia="宋体" w:hAnsi="Times New Roman" w:cs="宋体" w:hint="eastAsia"/>
          <w:sz w:val="21"/>
          <w:szCs w:val="21"/>
        </w:rPr>
        <w:t>峰计算</w:t>
      </w:r>
      <w:proofErr w:type="gramEnd"/>
      <w:r>
        <w:rPr>
          <w:rFonts w:ascii="Times New Roman" w:eastAsia="宋体" w:hAnsi="Times New Roman" w:cs="宋体" w:hint="eastAsia"/>
          <w:sz w:val="21"/>
          <w:szCs w:val="21"/>
        </w:rPr>
        <w:t>应不低于</w:t>
      </w:r>
      <w:r>
        <w:rPr>
          <w:rFonts w:ascii="Times New Roman" w:eastAsia="宋体" w:hAnsi="Times New Roman" w:cs="Times New Roman"/>
          <w:sz w:val="21"/>
          <w:szCs w:val="21"/>
        </w:rPr>
        <w:t>6000</w:t>
      </w:r>
      <w:r>
        <w:rPr>
          <w:rFonts w:ascii="Times New Roman" w:eastAsia="宋体" w:hAnsi="Times New Roman" w:cs="宋体" w:hint="eastAsia"/>
          <w:sz w:val="21"/>
          <w:szCs w:val="21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0A0"/>
      </w:tblPr>
      <w:tblGrid>
        <w:gridCol w:w="2004"/>
        <w:gridCol w:w="2268"/>
        <w:gridCol w:w="1804"/>
      </w:tblGrid>
      <w:tr w:rsidR="00D52E50" w:rsidRPr="00DF3965" w:rsidTr="00E63092">
        <w:trPr>
          <w:jc w:val="center"/>
        </w:trPr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/>
              </w:rPr>
            </w:pPr>
            <w:r w:rsidRPr="00DF3965">
              <w:rPr>
                <w:rFonts w:ascii="Times New Roman" w:eastAsia="宋体" w:hAnsi="Times New Roman" w:cs="宋体" w:hint="eastAsia"/>
              </w:rPr>
              <w:t>时间（分钟）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/>
              </w:rPr>
            </w:pPr>
            <w:r w:rsidRPr="00DF3965">
              <w:rPr>
                <w:rFonts w:ascii="Times New Roman" w:eastAsia="宋体" w:hAnsi="Times New Roman" w:cs="宋体" w:hint="eastAsia"/>
              </w:rPr>
              <w:t>流动相</w:t>
            </w:r>
            <w:r w:rsidRPr="00DF3965">
              <w:rPr>
                <w:rFonts w:ascii="Times New Roman" w:eastAsia="宋体" w:hAnsi="Times New Roman" w:cs="Times New Roman"/>
              </w:rPr>
              <w:t>A</w:t>
            </w:r>
            <w:r w:rsidRPr="00DF3965">
              <w:rPr>
                <w:rFonts w:ascii="Times New Roman" w:eastAsia="宋体" w:hAnsi="Times New Roman" w:cs="宋体" w:hint="eastAsia"/>
              </w:rPr>
              <w:t>（</w:t>
            </w:r>
            <w:r w:rsidRPr="00DF3965">
              <w:rPr>
                <w:rFonts w:ascii="Times New Roman" w:eastAsia="宋体" w:hAnsi="Times New Roman" w:cs="Times New Roman"/>
              </w:rPr>
              <w:t>%</w:t>
            </w:r>
            <w:r w:rsidRPr="00DF3965">
              <w:rPr>
                <w:rFonts w:ascii="Times New Roman" w:eastAsia="宋体" w:hAnsi="Times New Roman" w:cs="宋体" w:hint="eastAsia"/>
              </w:rPr>
              <w:t>）</w:t>
            </w: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宋体" w:hint="eastAsia"/>
              </w:rPr>
              <w:t>流动相</w:t>
            </w:r>
            <w:r w:rsidRPr="00DF3965">
              <w:rPr>
                <w:rFonts w:ascii="Times New Roman" w:eastAsia="宋体" w:hAnsi="Times New Roman" w:cs="Times New Roman"/>
              </w:rPr>
              <w:t>B(%)</w:t>
            </w:r>
          </w:p>
        </w:tc>
      </w:tr>
      <w:tr w:rsidR="00D52E50" w:rsidRPr="00DF3965" w:rsidTr="00E63092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0</w:t>
            </w:r>
            <w:r w:rsidRPr="00DF3965">
              <w:rPr>
                <w:rFonts w:ascii="Times New Roman" w:eastAsia="宋体" w:hAnsi="Times New Roman" w:cs="宋体" w:hint="eastAsia"/>
              </w:rPr>
              <w:t>～</w:t>
            </w:r>
            <w:r w:rsidRPr="00DF3965">
              <w:rPr>
                <w:rFonts w:ascii="Times New Roman" w:eastAsia="宋体" w:hAnsi="Times New Roman" w:cs="Times New Roman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19</w:t>
            </w:r>
          </w:p>
        </w:tc>
        <w:tc>
          <w:tcPr>
            <w:tcW w:w="1804" w:type="dxa"/>
            <w:tcBorders>
              <w:top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81</w:t>
            </w:r>
          </w:p>
        </w:tc>
      </w:tr>
      <w:tr w:rsidR="00D52E50" w:rsidRPr="00DF3965" w:rsidTr="00E63092">
        <w:trPr>
          <w:jc w:val="center"/>
        </w:trPr>
        <w:tc>
          <w:tcPr>
            <w:tcW w:w="0" w:type="auto"/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35</w:t>
            </w:r>
            <w:r w:rsidRPr="00DF3965">
              <w:rPr>
                <w:rFonts w:ascii="Times New Roman" w:eastAsia="宋体" w:hAnsi="Times New Roman" w:cs="宋体" w:hint="eastAsia"/>
              </w:rPr>
              <w:t>～</w:t>
            </w:r>
            <w:r w:rsidRPr="00DF3965">
              <w:rPr>
                <w:rFonts w:ascii="Times New Roman" w:eastAsia="宋体" w:hAnsi="Times New Roman" w:cs="Times New Roman"/>
              </w:rPr>
              <w:t>55</w:t>
            </w:r>
          </w:p>
        </w:tc>
        <w:tc>
          <w:tcPr>
            <w:tcW w:w="0" w:type="auto"/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19→29</w:t>
            </w:r>
          </w:p>
        </w:tc>
        <w:tc>
          <w:tcPr>
            <w:tcW w:w="1804" w:type="dxa"/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81→71</w:t>
            </w:r>
          </w:p>
        </w:tc>
      </w:tr>
      <w:tr w:rsidR="00D52E50" w:rsidRPr="00DF3965" w:rsidTr="00E63092">
        <w:trPr>
          <w:jc w:val="center"/>
        </w:trPr>
        <w:tc>
          <w:tcPr>
            <w:tcW w:w="0" w:type="auto"/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55</w:t>
            </w:r>
            <w:r w:rsidRPr="00DF3965">
              <w:rPr>
                <w:rFonts w:ascii="Times New Roman" w:eastAsia="宋体" w:hAnsi="Times New Roman" w:cs="宋体" w:hint="eastAsia"/>
              </w:rPr>
              <w:t>～</w:t>
            </w:r>
            <w:r w:rsidRPr="00DF3965">
              <w:rPr>
                <w:rFonts w:ascii="Times New Roman" w:eastAsia="宋体" w:hAnsi="Times New Roman" w:cs="Times New Roman"/>
              </w:rPr>
              <w:t>70</w:t>
            </w:r>
          </w:p>
        </w:tc>
        <w:tc>
          <w:tcPr>
            <w:tcW w:w="0" w:type="auto"/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29</w:t>
            </w:r>
          </w:p>
        </w:tc>
        <w:tc>
          <w:tcPr>
            <w:tcW w:w="1804" w:type="dxa"/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71</w:t>
            </w:r>
          </w:p>
        </w:tc>
      </w:tr>
      <w:tr w:rsidR="00D52E50" w:rsidRPr="00DF3965" w:rsidTr="00E63092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70</w:t>
            </w:r>
            <w:r w:rsidRPr="00DF3965">
              <w:rPr>
                <w:rFonts w:ascii="Times New Roman" w:eastAsia="宋体" w:hAnsi="Times New Roman" w:cs="宋体" w:hint="eastAsia"/>
              </w:rPr>
              <w:t>～</w:t>
            </w:r>
            <w:r w:rsidRPr="00DF3965">
              <w:rPr>
                <w:rFonts w:ascii="Times New Roman" w:eastAsia="宋体" w:hAnsi="Times New Roman" w:cs="Times New Roman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29→40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vAlign w:val="center"/>
          </w:tcPr>
          <w:p w:rsidR="00D52E50" w:rsidRPr="00DF3965" w:rsidRDefault="00D52E50" w:rsidP="00E63092">
            <w:pPr>
              <w:spacing w:line="360" w:lineRule="exact"/>
              <w:ind w:firstLine="200"/>
              <w:jc w:val="center"/>
              <w:rPr>
                <w:rFonts w:ascii="Times New Roman" w:eastAsia="宋体" w:hAnsi="Times New Roman" w:cs="Times New Roman"/>
              </w:rPr>
            </w:pPr>
            <w:r w:rsidRPr="00DF3965">
              <w:rPr>
                <w:rFonts w:ascii="Times New Roman" w:eastAsia="宋体" w:hAnsi="Times New Roman" w:cs="Times New Roman"/>
              </w:rPr>
              <w:t>71→60</w:t>
            </w:r>
          </w:p>
        </w:tc>
      </w:tr>
    </w:tbl>
    <w:p w:rsidR="00D52E50" w:rsidRPr="00CD0228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t>对照品溶液的制备</w:t>
      </w:r>
      <w:r>
        <w:rPr>
          <w:rFonts w:ascii="Times New Roman" w:eastAsia="黑体" w:hAnsi="黑体" w:cs="Times New Roman"/>
          <w:sz w:val="21"/>
          <w:szCs w:val="21"/>
        </w:rPr>
        <w:t xml:space="preserve">  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精密称取人参皂苷</w:t>
      </w:r>
      <w:r w:rsidRPr="00CD0228">
        <w:rPr>
          <w:rFonts w:ascii="Times New Roman" w:eastAsia="宋体" w:hAnsi="Times New Roman" w:cs="Times New Roman"/>
          <w:sz w:val="21"/>
          <w:szCs w:val="21"/>
        </w:rPr>
        <w:t>Rg</w:t>
      </w:r>
      <w:r w:rsidRPr="00CD0228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CD0228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对照品、人参皂苷</w:t>
      </w:r>
      <w:r w:rsidRPr="00CD0228">
        <w:rPr>
          <w:rFonts w:ascii="Times New Roman" w:eastAsia="宋体" w:hAnsi="Times New Roman" w:cs="Times New Roman"/>
          <w:sz w:val="21"/>
          <w:szCs w:val="21"/>
        </w:rPr>
        <w:t>Re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对照品、人参皂苷</w:t>
      </w:r>
      <w:r w:rsidRPr="00CD0228">
        <w:rPr>
          <w:rFonts w:ascii="Times New Roman" w:eastAsia="宋体" w:hAnsi="Times New Roman" w:cs="Times New Roman"/>
          <w:sz w:val="21"/>
          <w:szCs w:val="21"/>
        </w:rPr>
        <w:t>Rb</w:t>
      </w:r>
      <w:r w:rsidRPr="00CD0228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对照品，加甲醇制成每</w:t>
      </w:r>
      <w:proofErr w:type="spellStart"/>
      <w:r w:rsidRPr="00CD0228">
        <w:rPr>
          <w:rFonts w:ascii="Times New Roman" w:eastAsia="宋体" w:hAnsi="Times New Roman" w:cs="Times New Roman"/>
          <w:sz w:val="21"/>
          <w:szCs w:val="21"/>
        </w:rPr>
        <w:t>lml</w:t>
      </w:r>
      <w:proofErr w:type="spellEnd"/>
      <w:r>
        <w:rPr>
          <w:rFonts w:ascii="Times New Roman" w:eastAsia="宋体" w:hAnsi="Times New Roman" w:cs="宋体" w:hint="eastAsia"/>
          <w:sz w:val="21"/>
          <w:szCs w:val="21"/>
        </w:rPr>
        <w:t>依次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含</w:t>
      </w:r>
      <w:r>
        <w:rPr>
          <w:rFonts w:ascii="Times New Roman" w:eastAsia="宋体" w:hAnsi="Times New Roman" w:cs="Times New Roman"/>
          <w:sz w:val="21"/>
          <w:szCs w:val="21"/>
        </w:rPr>
        <w:t>0</w:t>
      </w:r>
      <w:r w:rsidRPr="00CD0228">
        <w:rPr>
          <w:rFonts w:ascii="Times New Roman" w:eastAsia="宋体" w:hAnsi="Times New Roman" w:cs="Times New Roman"/>
          <w:sz w:val="21"/>
          <w:szCs w:val="21"/>
        </w:rPr>
        <w:t>.1 mg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、</w:t>
      </w:r>
      <w:r>
        <w:rPr>
          <w:rFonts w:ascii="Times New Roman" w:eastAsia="宋体" w:hAnsi="Times New Roman" w:cs="Times New Roman"/>
          <w:sz w:val="21"/>
          <w:szCs w:val="21"/>
        </w:rPr>
        <w:t>0.2m</w:t>
      </w:r>
      <w:r w:rsidRPr="00CD0228">
        <w:rPr>
          <w:rFonts w:ascii="Times New Roman" w:eastAsia="宋体" w:hAnsi="Times New Roman" w:cs="Times New Roman"/>
          <w:sz w:val="21"/>
          <w:szCs w:val="21"/>
        </w:rPr>
        <w:t>g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CD0228">
        <w:rPr>
          <w:rFonts w:ascii="Times New Roman" w:eastAsia="宋体" w:hAnsi="Times New Roman" w:cs="Times New Roman"/>
          <w:sz w:val="21"/>
          <w:szCs w:val="21"/>
        </w:rPr>
        <w:t>0.2mg</w:t>
      </w:r>
      <w:r w:rsidRPr="00CD0228">
        <w:rPr>
          <w:rFonts w:ascii="Times New Roman" w:eastAsia="宋体" w:hAnsi="Times New Roman" w:cs="宋体" w:hint="eastAsia"/>
          <w:sz w:val="21"/>
          <w:szCs w:val="21"/>
        </w:rPr>
        <w:t>的混合溶液，摇匀，即得。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proofErr w:type="gramStart"/>
      <w:r>
        <w:rPr>
          <w:rFonts w:ascii="Times New Roman" w:eastAsia="黑体" w:hAnsi="黑体" w:cs="黑体" w:hint="eastAsia"/>
          <w:sz w:val="21"/>
          <w:szCs w:val="21"/>
        </w:rPr>
        <w:t>供试品溶液</w:t>
      </w:r>
      <w:proofErr w:type="gramEnd"/>
      <w:r>
        <w:rPr>
          <w:rFonts w:ascii="Times New Roman" w:eastAsia="黑体" w:hAnsi="黑体" w:cs="黑体" w:hint="eastAsia"/>
          <w:sz w:val="21"/>
          <w:szCs w:val="21"/>
        </w:rPr>
        <w:t>的制备</w:t>
      </w:r>
      <w:r>
        <w:rPr>
          <w:rFonts w:ascii="Times New Roman" w:eastAsia="黑体" w:hAnsi="黑体" w:cs="Times New Roman"/>
          <w:sz w:val="21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1"/>
          <w:szCs w:val="21"/>
        </w:rPr>
        <w:t>取本品粉末（过四号筛）约</w:t>
      </w:r>
      <w:proofErr w:type="spellStart"/>
      <w:r>
        <w:rPr>
          <w:rFonts w:ascii="Times New Roman" w:eastAsia="宋体" w:hAnsi="Times New Roman" w:cs="Times New Roman"/>
          <w:sz w:val="21"/>
          <w:szCs w:val="21"/>
        </w:rPr>
        <w:t>lg</w:t>
      </w:r>
      <w:proofErr w:type="spellEnd"/>
      <w:r>
        <w:rPr>
          <w:rFonts w:ascii="Times New Roman" w:eastAsia="宋体" w:hAnsi="Times New Roman" w:cs="宋体" w:hint="eastAsia"/>
          <w:sz w:val="21"/>
          <w:szCs w:val="21"/>
        </w:rPr>
        <w:t>，精密称定，置索氏</w:t>
      </w:r>
      <w:proofErr w:type="gramStart"/>
      <w:r>
        <w:rPr>
          <w:rFonts w:ascii="Times New Roman" w:eastAsia="宋体" w:hAnsi="Times New Roman" w:cs="宋体" w:hint="eastAsia"/>
          <w:sz w:val="21"/>
          <w:szCs w:val="21"/>
        </w:rPr>
        <w:t>提取器</w:t>
      </w:r>
      <w:proofErr w:type="gramEnd"/>
      <w:r>
        <w:rPr>
          <w:rFonts w:ascii="Times New Roman" w:eastAsia="宋体" w:hAnsi="Times New Roman" w:cs="宋体" w:hint="eastAsia"/>
          <w:sz w:val="21"/>
          <w:szCs w:val="21"/>
        </w:rPr>
        <w:t>中，加乙醚加热回流</w:t>
      </w:r>
      <w:r>
        <w:rPr>
          <w:rFonts w:ascii="Times New Roman" w:eastAsia="宋体" w:hAnsi="Times New Roman" w:cs="Times New Roman"/>
          <w:sz w:val="21"/>
          <w:szCs w:val="21"/>
        </w:rPr>
        <w:t xml:space="preserve">3 </w:t>
      </w:r>
      <w:r>
        <w:rPr>
          <w:rFonts w:ascii="Times New Roman" w:eastAsia="宋体" w:hAnsi="Times New Roman" w:cs="宋体" w:hint="eastAsia"/>
          <w:sz w:val="21"/>
          <w:szCs w:val="21"/>
        </w:rPr>
        <w:t>小时，弃去乙醚液，</w:t>
      </w:r>
      <w:proofErr w:type="gramStart"/>
      <w:r>
        <w:rPr>
          <w:rFonts w:ascii="Times New Roman" w:eastAsia="宋体" w:hAnsi="Times New Roman" w:cs="宋体" w:hint="eastAsia"/>
          <w:sz w:val="21"/>
          <w:szCs w:val="21"/>
        </w:rPr>
        <w:t>药渣挥干溶剂</w:t>
      </w:r>
      <w:proofErr w:type="gramEnd"/>
      <w:r>
        <w:rPr>
          <w:rFonts w:ascii="Times New Roman" w:eastAsia="宋体" w:hAnsi="Times New Roman" w:cs="宋体" w:hint="eastAsia"/>
          <w:sz w:val="21"/>
          <w:szCs w:val="21"/>
        </w:rPr>
        <w:t>，连同滤纸筒移入</w:t>
      </w:r>
      <w:r>
        <w:rPr>
          <w:rFonts w:ascii="Times New Roman" w:eastAsia="宋体" w:hAnsi="Times New Roman" w:cs="Times New Roman"/>
          <w:sz w:val="21"/>
          <w:szCs w:val="21"/>
        </w:rPr>
        <w:t>100ml</w:t>
      </w:r>
      <w:r>
        <w:rPr>
          <w:rFonts w:ascii="Times New Roman" w:eastAsia="宋体" w:hAnsi="Times New Roman" w:cs="宋体" w:hint="eastAsia"/>
          <w:sz w:val="21"/>
          <w:szCs w:val="21"/>
        </w:rPr>
        <w:t>锥形瓶中，精密加水饱和正丁醇</w:t>
      </w:r>
      <w:r>
        <w:rPr>
          <w:rFonts w:ascii="Times New Roman" w:eastAsia="宋体" w:hAnsi="Times New Roman" w:cs="Times New Roman"/>
          <w:sz w:val="21"/>
          <w:szCs w:val="21"/>
        </w:rPr>
        <w:t>50ml</w:t>
      </w:r>
      <w:r>
        <w:rPr>
          <w:rFonts w:ascii="Times New Roman" w:eastAsia="宋体" w:hAnsi="Times New Roman" w:cs="宋体" w:hint="eastAsia"/>
          <w:sz w:val="21"/>
          <w:szCs w:val="21"/>
        </w:rPr>
        <w:t>，密塞，放置过夜，超声处理（功率</w:t>
      </w:r>
      <w:r>
        <w:rPr>
          <w:rFonts w:ascii="Times New Roman" w:eastAsia="宋体" w:hAnsi="Times New Roman" w:cs="Times New Roman"/>
          <w:sz w:val="21"/>
          <w:szCs w:val="21"/>
        </w:rPr>
        <w:t>250W</w:t>
      </w:r>
      <w:r>
        <w:rPr>
          <w:rFonts w:ascii="Times New Roman" w:eastAsia="宋体" w:hAnsi="Times New Roman" w:cs="宋体" w:hint="eastAsia"/>
          <w:sz w:val="21"/>
          <w:szCs w:val="21"/>
        </w:rPr>
        <w:t>，频率</w:t>
      </w:r>
      <w:r>
        <w:rPr>
          <w:rFonts w:ascii="Times New Roman" w:eastAsia="宋体" w:hAnsi="Times New Roman" w:cs="Times New Roman"/>
          <w:sz w:val="21"/>
          <w:szCs w:val="21"/>
        </w:rPr>
        <w:t>50kHz)30</w:t>
      </w:r>
      <w:r>
        <w:rPr>
          <w:rFonts w:ascii="Times New Roman" w:eastAsia="宋体" w:hAnsi="Times New Roman" w:cs="宋体" w:hint="eastAsia"/>
          <w:sz w:val="21"/>
          <w:szCs w:val="21"/>
        </w:rPr>
        <w:t>分钟，滤过，弃去初滤液，精密</w:t>
      </w:r>
      <w:proofErr w:type="gramStart"/>
      <w:r>
        <w:rPr>
          <w:rFonts w:ascii="Times New Roman" w:eastAsia="宋体" w:hAnsi="Times New Roman" w:cs="宋体" w:hint="eastAsia"/>
          <w:sz w:val="21"/>
          <w:szCs w:val="21"/>
        </w:rPr>
        <w:t>量取续滤液</w:t>
      </w:r>
      <w:proofErr w:type="gramEnd"/>
      <w:r>
        <w:rPr>
          <w:rFonts w:ascii="Times New Roman" w:eastAsia="宋体" w:hAnsi="Times New Roman" w:cs="Times New Roman"/>
          <w:sz w:val="21"/>
          <w:szCs w:val="21"/>
        </w:rPr>
        <w:t>25ml</w:t>
      </w:r>
      <w:r>
        <w:rPr>
          <w:rFonts w:ascii="Times New Roman" w:eastAsia="宋体" w:hAnsi="Times New Roman" w:cs="宋体" w:hint="eastAsia"/>
          <w:sz w:val="21"/>
          <w:szCs w:val="21"/>
        </w:rPr>
        <w:t>，置蒸发皿中蒸干，残渣加甲醇溶解并转移至</w:t>
      </w:r>
      <w:r>
        <w:rPr>
          <w:rFonts w:ascii="Times New Roman" w:eastAsia="宋体" w:hAnsi="Times New Roman" w:cs="Times New Roman"/>
          <w:sz w:val="21"/>
          <w:szCs w:val="21"/>
        </w:rPr>
        <w:t>10ml</w:t>
      </w:r>
      <w:r>
        <w:rPr>
          <w:rFonts w:ascii="Times New Roman" w:eastAsia="宋体" w:hAnsi="Times New Roman" w:cs="宋体" w:hint="eastAsia"/>
          <w:sz w:val="21"/>
          <w:szCs w:val="21"/>
        </w:rPr>
        <w:t>量瓶中，加甲醇稀释至刻度，摇匀，滤过，</w:t>
      </w:r>
      <w:proofErr w:type="gramStart"/>
      <w:r>
        <w:rPr>
          <w:rFonts w:ascii="Times New Roman" w:eastAsia="宋体" w:hAnsi="Times New Roman" w:cs="宋体" w:hint="eastAsia"/>
          <w:sz w:val="21"/>
          <w:szCs w:val="21"/>
        </w:rPr>
        <w:t>取续滤液</w:t>
      </w:r>
      <w:proofErr w:type="gramEnd"/>
      <w:r>
        <w:rPr>
          <w:rFonts w:ascii="Times New Roman" w:eastAsia="宋体" w:hAnsi="Times New Roman" w:cs="宋体" w:hint="eastAsia"/>
          <w:sz w:val="21"/>
          <w:szCs w:val="21"/>
        </w:rPr>
        <w:t>，即得。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424B54">
        <w:rPr>
          <w:rFonts w:ascii="Times New Roman" w:eastAsia="黑体" w:hAnsi="黑体" w:cs="黑体" w:hint="eastAsia"/>
          <w:sz w:val="21"/>
          <w:szCs w:val="21"/>
        </w:rPr>
        <w:t>测定法</w:t>
      </w:r>
      <w:r>
        <w:rPr>
          <w:rFonts w:ascii="Times New Roman" w:eastAsia="黑体" w:hAnsi="黑体" w:cs="Times New Roman"/>
          <w:sz w:val="21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1"/>
          <w:szCs w:val="21"/>
        </w:rPr>
        <w:t>分别精密吸取对照品溶液</w:t>
      </w:r>
      <w:r>
        <w:rPr>
          <w:rFonts w:ascii="Times New Roman" w:eastAsia="宋体" w:hAnsi="Times New Roman" w:cs="Times New Roman"/>
          <w:sz w:val="21"/>
          <w:szCs w:val="21"/>
        </w:rPr>
        <w:t>20μl</w:t>
      </w:r>
      <w:r>
        <w:rPr>
          <w:rFonts w:ascii="Times New Roman" w:eastAsia="宋体" w:hAnsi="Times New Roman" w:cs="宋体" w:hint="eastAsia"/>
          <w:sz w:val="21"/>
          <w:szCs w:val="21"/>
        </w:rPr>
        <w:t>与</w:t>
      </w:r>
      <w:proofErr w:type="gramStart"/>
      <w:r>
        <w:rPr>
          <w:rFonts w:ascii="Times New Roman" w:eastAsia="宋体" w:hAnsi="Times New Roman" w:cs="宋体" w:hint="eastAsia"/>
          <w:sz w:val="21"/>
          <w:szCs w:val="21"/>
        </w:rPr>
        <w:t>供试品溶液</w:t>
      </w:r>
      <w:proofErr w:type="gramEnd"/>
      <w:r>
        <w:rPr>
          <w:rFonts w:ascii="Times New Roman" w:eastAsia="宋体" w:hAnsi="Times New Roman" w:cs="Times New Roman"/>
          <w:sz w:val="21"/>
          <w:szCs w:val="21"/>
        </w:rPr>
        <w:t>10</w:t>
      </w:r>
      <w:r>
        <w:rPr>
          <w:rFonts w:ascii="MS Mincho" w:eastAsia="MS Mincho" w:hAnsi="MS Mincho" w:cs="MS Mincho" w:hint="eastAsia"/>
          <w:sz w:val="21"/>
          <w:szCs w:val="21"/>
        </w:rPr>
        <w:t>～</w:t>
      </w:r>
      <w:r>
        <w:rPr>
          <w:rFonts w:ascii="Times New Roman" w:eastAsia="宋体" w:hAnsi="Times New Roman" w:cs="Times New Roman"/>
          <w:sz w:val="21"/>
          <w:szCs w:val="21"/>
        </w:rPr>
        <w:t>20μ1</w:t>
      </w:r>
      <w:r>
        <w:rPr>
          <w:rFonts w:ascii="Times New Roman" w:eastAsia="宋体" w:hAnsi="Times New Roman" w:cs="宋体" w:hint="eastAsia"/>
          <w:sz w:val="21"/>
          <w:szCs w:val="21"/>
        </w:rPr>
        <w:t>，注入液相色谱仪，测定，即得。</w:t>
      </w:r>
    </w:p>
    <w:p w:rsidR="00D52E50" w:rsidRPr="00D346FB" w:rsidRDefault="00D52E50" w:rsidP="004F1F31">
      <w:pPr>
        <w:spacing w:line="360" w:lineRule="exact"/>
        <w:ind w:firstLineChars="200" w:firstLine="420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本品按干燥品计算，含人参皂苷</w:t>
      </w:r>
      <w:r>
        <w:rPr>
          <w:rFonts w:ascii="Times New Roman" w:eastAsia="宋体" w:hAnsi="Times New Roman" w:cs="Times New Roman"/>
          <w:sz w:val="21"/>
          <w:szCs w:val="21"/>
        </w:rPr>
        <w:t>Rg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D346FB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D346FB">
        <w:rPr>
          <w:rFonts w:ascii="Times New Roman" w:eastAsia="宋体" w:hAnsi="Times New Roman" w:cs="宋体" w:hint="eastAsia"/>
          <w:sz w:val="21"/>
          <w:szCs w:val="21"/>
        </w:rPr>
        <w:t>（</w:t>
      </w:r>
      <w:r w:rsidRPr="00D346FB">
        <w:rPr>
          <w:rFonts w:ascii="Times New Roman" w:eastAsia="宋体" w:hAnsi="Times New Roman" w:cs="Times New Roman"/>
          <w:sz w:val="21"/>
          <w:szCs w:val="21"/>
        </w:rPr>
        <w:t>C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42</w:t>
      </w:r>
      <w:r w:rsidRPr="00D346FB">
        <w:rPr>
          <w:rFonts w:ascii="Times New Roman" w:eastAsia="宋体" w:hAnsi="Times New Roman" w:cs="Times New Roman"/>
          <w:sz w:val="21"/>
          <w:szCs w:val="21"/>
        </w:rPr>
        <w:t>H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72</w:t>
      </w:r>
      <w:r w:rsidRPr="00D346FB">
        <w:rPr>
          <w:rFonts w:ascii="Times New Roman" w:eastAsia="宋体" w:hAnsi="Times New Roman" w:cs="Times New Roman"/>
          <w:sz w:val="21"/>
          <w:szCs w:val="21"/>
        </w:rPr>
        <w:t>O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14</w:t>
      </w:r>
      <w:r w:rsidRPr="00D346FB">
        <w:rPr>
          <w:rFonts w:ascii="Times New Roman" w:eastAsia="宋体" w:hAnsi="Times New Roman" w:cs="宋体" w:hint="eastAsia"/>
          <w:sz w:val="21"/>
          <w:szCs w:val="21"/>
        </w:rPr>
        <w:t>）和人参皂苷</w:t>
      </w:r>
      <w:r w:rsidRPr="00D346FB">
        <w:rPr>
          <w:rFonts w:ascii="Times New Roman" w:eastAsia="宋体" w:hAnsi="Times New Roman" w:cs="Times New Roman"/>
          <w:sz w:val="21"/>
          <w:szCs w:val="21"/>
        </w:rPr>
        <w:t>Re(C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48</w:t>
      </w:r>
      <w:r w:rsidRPr="00D346FB">
        <w:rPr>
          <w:rFonts w:ascii="Times New Roman" w:eastAsia="宋体" w:hAnsi="Times New Roman" w:cs="Times New Roman"/>
          <w:sz w:val="21"/>
          <w:szCs w:val="21"/>
        </w:rPr>
        <w:t>H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82</w:t>
      </w:r>
      <w:r w:rsidRPr="00D346FB">
        <w:rPr>
          <w:rFonts w:ascii="Times New Roman" w:eastAsia="宋体" w:hAnsi="Times New Roman" w:cs="Times New Roman"/>
          <w:sz w:val="21"/>
          <w:szCs w:val="21"/>
        </w:rPr>
        <w:t>O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18</w:t>
      </w:r>
      <w:r w:rsidRPr="00D346FB">
        <w:rPr>
          <w:rFonts w:ascii="Times New Roman" w:eastAsia="宋体" w:hAnsi="Times New Roman" w:cs="Times New Roman"/>
          <w:sz w:val="21"/>
          <w:szCs w:val="21"/>
        </w:rPr>
        <w:t>)</w:t>
      </w:r>
      <w:r w:rsidRPr="00D346FB">
        <w:rPr>
          <w:rFonts w:ascii="Times New Roman" w:eastAsia="宋体" w:hAnsi="Times New Roman" w:cs="宋体" w:hint="eastAsia"/>
          <w:sz w:val="21"/>
          <w:szCs w:val="21"/>
        </w:rPr>
        <w:t>的总量不得少于</w:t>
      </w:r>
      <w:r w:rsidRPr="00D346FB">
        <w:rPr>
          <w:rFonts w:ascii="Times New Roman" w:eastAsia="宋体" w:hAnsi="Times New Roman" w:cs="Times New Roman"/>
          <w:sz w:val="21"/>
          <w:szCs w:val="21"/>
        </w:rPr>
        <w:t>0.</w:t>
      </w:r>
      <w:r>
        <w:rPr>
          <w:rFonts w:ascii="Times New Roman" w:eastAsia="宋体" w:hAnsi="Times New Roman" w:cs="Times New Roman"/>
          <w:sz w:val="21"/>
          <w:szCs w:val="21"/>
        </w:rPr>
        <w:t>50</w:t>
      </w:r>
      <w:r w:rsidRPr="00D346FB">
        <w:rPr>
          <w:rFonts w:ascii="Times New Roman" w:eastAsia="宋体" w:hAnsi="Times New Roman" w:cs="Times New Roman"/>
          <w:sz w:val="21"/>
          <w:szCs w:val="21"/>
        </w:rPr>
        <w:t xml:space="preserve">% , </w:t>
      </w:r>
      <w:r w:rsidRPr="00D346FB">
        <w:rPr>
          <w:rFonts w:ascii="Times New Roman" w:eastAsia="宋体" w:hAnsi="Times New Roman" w:cs="宋体" w:hint="eastAsia"/>
          <w:sz w:val="21"/>
          <w:szCs w:val="21"/>
        </w:rPr>
        <w:t>人参皂苷</w:t>
      </w:r>
      <w:r w:rsidRPr="00D346FB">
        <w:rPr>
          <w:rFonts w:ascii="Times New Roman" w:eastAsia="宋体" w:hAnsi="Times New Roman" w:cs="Times New Roman"/>
          <w:sz w:val="21"/>
          <w:szCs w:val="21"/>
        </w:rPr>
        <w:t>Rb</w:t>
      </w:r>
      <w:r w:rsidRPr="001C430A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D346FB">
        <w:rPr>
          <w:rFonts w:ascii="Times New Roman" w:eastAsia="宋体" w:hAnsi="Times New Roman" w:cs="Times New Roman"/>
          <w:sz w:val="21"/>
          <w:szCs w:val="21"/>
        </w:rPr>
        <w:t>(C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54</w:t>
      </w:r>
      <w:r w:rsidRPr="00D346FB">
        <w:rPr>
          <w:rFonts w:ascii="Times New Roman" w:eastAsia="宋体" w:hAnsi="Times New Roman" w:cs="Times New Roman"/>
          <w:sz w:val="21"/>
          <w:szCs w:val="21"/>
        </w:rPr>
        <w:t>H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92</w:t>
      </w:r>
      <w:r w:rsidRPr="00D346FB">
        <w:rPr>
          <w:rFonts w:ascii="Times New Roman" w:eastAsia="宋体" w:hAnsi="Times New Roman" w:cs="Times New Roman"/>
          <w:sz w:val="21"/>
          <w:szCs w:val="21"/>
        </w:rPr>
        <w:t xml:space="preserve"> O</w:t>
      </w:r>
      <w:r w:rsidRPr="00D346FB">
        <w:rPr>
          <w:rFonts w:ascii="Times New Roman" w:eastAsia="宋体" w:hAnsi="Times New Roman" w:cs="Times New Roman"/>
          <w:sz w:val="21"/>
          <w:szCs w:val="21"/>
          <w:vertAlign w:val="subscript"/>
        </w:rPr>
        <w:t>23</w:t>
      </w:r>
      <w:r w:rsidRPr="00D346FB">
        <w:rPr>
          <w:rFonts w:ascii="Times New Roman" w:eastAsia="宋体" w:hAnsi="Times New Roman" w:cs="Times New Roman"/>
          <w:sz w:val="21"/>
          <w:szCs w:val="21"/>
        </w:rPr>
        <w:t xml:space="preserve"> )</w:t>
      </w:r>
      <w:r w:rsidRPr="00D346FB">
        <w:rPr>
          <w:rFonts w:ascii="Times New Roman" w:eastAsia="宋体" w:hAnsi="Times New Roman" w:cs="宋体" w:hint="eastAsia"/>
          <w:sz w:val="21"/>
          <w:szCs w:val="21"/>
        </w:rPr>
        <w:t>不得少于</w:t>
      </w:r>
      <w:r>
        <w:rPr>
          <w:rFonts w:ascii="Times New Roman" w:eastAsia="宋体" w:hAnsi="Times New Roman" w:cs="Times New Roman"/>
          <w:sz w:val="21"/>
          <w:szCs w:val="21"/>
        </w:rPr>
        <w:t xml:space="preserve"> 0.25</w:t>
      </w:r>
      <w:r w:rsidRPr="00D346FB">
        <w:rPr>
          <w:rFonts w:ascii="Times New Roman" w:eastAsia="宋体" w:hAnsi="Times New Roman" w:cs="Times New Roman"/>
          <w:sz w:val="21"/>
          <w:szCs w:val="21"/>
        </w:rPr>
        <w:t>%</w:t>
      </w:r>
      <w:r w:rsidRPr="00D346FB">
        <w:rPr>
          <w:rFonts w:ascii="Times New Roman" w:eastAsia="宋体" w:hAnsi="Times New Roman" w:cs="宋体" w:hint="eastAsia"/>
          <w:sz w:val="21"/>
          <w:szCs w:val="21"/>
        </w:rPr>
        <w:t>。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t>【性味与归经】</w:t>
      </w:r>
      <w:r w:rsidR="00184A1B">
        <w:rPr>
          <w:rFonts w:ascii="Times New Roman" w:eastAsia="宋体" w:hAnsi="Times New Roman" w:cs="宋体" w:hint="eastAsia"/>
          <w:sz w:val="21"/>
          <w:szCs w:val="21"/>
        </w:rPr>
        <w:t>甘、</w:t>
      </w:r>
      <w:r w:rsidR="004F1F31">
        <w:rPr>
          <w:rFonts w:ascii="Times New Roman" w:eastAsia="宋体" w:hAnsi="Times New Roman" w:cs="宋体" w:hint="eastAsia"/>
          <w:sz w:val="21"/>
          <w:szCs w:val="21"/>
        </w:rPr>
        <w:t>微</w:t>
      </w:r>
      <w:r w:rsidR="00017F4E">
        <w:rPr>
          <w:rFonts w:ascii="Times New Roman" w:eastAsia="宋体" w:hAnsi="Times New Roman" w:cs="宋体" w:hint="eastAsia"/>
          <w:sz w:val="21"/>
          <w:szCs w:val="21"/>
        </w:rPr>
        <w:t>苦</w:t>
      </w:r>
      <w:r w:rsidR="009444C7">
        <w:rPr>
          <w:rFonts w:ascii="Times New Roman" w:eastAsia="宋体" w:hAnsi="Times New Roman" w:cs="宋体" w:hint="eastAsia"/>
          <w:sz w:val="21"/>
          <w:szCs w:val="21"/>
        </w:rPr>
        <w:t>，</w:t>
      </w:r>
      <w:r>
        <w:rPr>
          <w:rFonts w:ascii="Times New Roman" w:eastAsia="宋体" w:hAnsi="Times New Roman" w:cs="宋体" w:hint="eastAsia"/>
          <w:sz w:val="21"/>
          <w:szCs w:val="21"/>
        </w:rPr>
        <w:t>性平。归肺、胃经。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t>【功能与主治】</w:t>
      </w:r>
      <w:r>
        <w:rPr>
          <w:rFonts w:ascii="Times New Roman" w:eastAsia="宋体" w:hAnsi="Times New Roman" w:cs="宋体" w:hint="eastAsia"/>
          <w:sz w:val="21"/>
          <w:szCs w:val="21"/>
        </w:rPr>
        <w:t>益气，生津，止渴。主治咳嗽吐血，口渴，胃虚呕逆。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t>【用法与用量】</w:t>
      </w:r>
      <w:r>
        <w:rPr>
          <w:rFonts w:ascii="Times New Roman" w:eastAsia="宋体" w:hAnsi="Times New Roman" w:cs="宋体" w:hint="eastAsia"/>
          <w:sz w:val="21"/>
          <w:szCs w:val="21"/>
        </w:rPr>
        <w:t>内服；煎汤，</w:t>
      </w:r>
      <w:r>
        <w:rPr>
          <w:rFonts w:ascii="Times New Roman" w:eastAsia="宋体" w:hAnsi="Times New Roman" w:cs="Times New Roman"/>
          <w:sz w:val="21"/>
          <w:szCs w:val="21"/>
        </w:rPr>
        <w:t>3</w:t>
      </w:r>
      <w:r w:rsidRPr="00CE7F60">
        <w:rPr>
          <w:rFonts w:ascii="Times New Roman" w:eastAsia="宋体" w:hAnsi="Times New Roman" w:cs="宋体" w:hint="eastAsia"/>
          <w:sz w:val="21"/>
          <w:szCs w:val="21"/>
        </w:rPr>
        <w:t>～</w:t>
      </w:r>
      <w:r>
        <w:rPr>
          <w:rFonts w:ascii="Times New Roman" w:eastAsia="宋体" w:hAnsi="Times New Roman" w:cs="Times New Roman"/>
          <w:sz w:val="21"/>
          <w:szCs w:val="21"/>
        </w:rPr>
        <w:t>9</w:t>
      </w:r>
      <w:r>
        <w:rPr>
          <w:rFonts w:ascii="Times New Roman" w:eastAsia="宋体" w:hAnsi="Times New Roman" w:cs="宋体" w:hint="eastAsia"/>
          <w:sz w:val="21"/>
          <w:szCs w:val="21"/>
        </w:rPr>
        <w:t>克；或泡茶。</w:t>
      </w:r>
    </w:p>
    <w:p w:rsidR="00D52E50" w:rsidRDefault="00D52E50" w:rsidP="004F1F31">
      <w:pPr>
        <w:spacing w:line="360" w:lineRule="exact"/>
        <w:ind w:firstLineChars="200" w:firstLine="420"/>
        <w:jc w:val="both"/>
        <w:rPr>
          <w:rFonts w:ascii="Times New Roman" w:eastAsia="黑体" w:hAnsi="Times New Roman"/>
          <w:sz w:val="21"/>
          <w:szCs w:val="21"/>
        </w:rPr>
      </w:pPr>
      <w:r>
        <w:rPr>
          <w:rFonts w:ascii="Times New Roman" w:eastAsia="黑体" w:hAnsi="黑体" w:cs="黑体" w:hint="eastAsia"/>
          <w:sz w:val="21"/>
          <w:szCs w:val="21"/>
        </w:rPr>
        <w:t>【注意】</w:t>
      </w:r>
      <w:r>
        <w:rPr>
          <w:rFonts w:ascii="Times New Roman" w:eastAsia="宋体" w:hAnsi="Times New Roman" w:cs="宋体" w:hint="eastAsia"/>
          <w:sz w:val="21"/>
          <w:szCs w:val="21"/>
        </w:rPr>
        <w:t>不宜与藜芦、五灵脂同用。</w:t>
      </w:r>
    </w:p>
    <w:p w:rsidR="00D52E50" w:rsidRDefault="00D52E50" w:rsidP="00E71963">
      <w:pPr>
        <w:spacing w:after="0" w:line="360" w:lineRule="exact"/>
        <w:ind w:firstLineChars="200" w:firstLine="420"/>
        <w:jc w:val="both"/>
      </w:pPr>
      <w:r>
        <w:rPr>
          <w:rFonts w:ascii="Times New Roman" w:eastAsia="黑体" w:hAnsi="黑体" w:cs="黑体" w:hint="eastAsia"/>
          <w:sz w:val="21"/>
          <w:szCs w:val="21"/>
        </w:rPr>
        <w:t>【贮藏】</w:t>
      </w:r>
      <w:r>
        <w:rPr>
          <w:rFonts w:ascii="Times New Roman" w:eastAsia="宋体" w:hAnsi="Times New Roman" w:cs="宋体" w:hint="eastAsia"/>
          <w:sz w:val="21"/>
          <w:szCs w:val="21"/>
        </w:rPr>
        <w:t>置阴凉干燥处，密闭保存，防蛀。</w:t>
      </w:r>
    </w:p>
    <w:sectPr w:rsidR="00D52E5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667" w:rsidRDefault="004C1667" w:rsidP="00E66F8B">
      <w:pPr>
        <w:spacing w:after="0"/>
      </w:pPr>
      <w:r>
        <w:separator/>
      </w:r>
    </w:p>
  </w:endnote>
  <w:endnote w:type="continuationSeparator" w:id="1">
    <w:p w:rsidR="004C1667" w:rsidRDefault="004C1667" w:rsidP="00E66F8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667" w:rsidRDefault="004C1667" w:rsidP="00E66F8B">
      <w:pPr>
        <w:spacing w:after="0"/>
      </w:pPr>
      <w:r>
        <w:separator/>
      </w:r>
    </w:p>
  </w:footnote>
  <w:footnote w:type="continuationSeparator" w:id="1">
    <w:p w:rsidR="004C1667" w:rsidRDefault="004C1667" w:rsidP="00E66F8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17F4E"/>
    <w:rsid w:val="000203AD"/>
    <w:rsid w:val="000D2476"/>
    <w:rsid w:val="0010789F"/>
    <w:rsid w:val="00153E15"/>
    <w:rsid w:val="00184A1B"/>
    <w:rsid w:val="001C430A"/>
    <w:rsid w:val="0024519F"/>
    <w:rsid w:val="002A2C55"/>
    <w:rsid w:val="00323B43"/>
    <w:rsid w:val="003D37D8"/>
    <w:rsid w:val="00424B54"/>
    <w:rsid w:val="00426133"/>
    <w:rsid w:val="004358AB"/>
    <w:rsid w:val="004904D3"/>
    <w:rsid w:val="004A0AD9"/>
    <w:rsid w:val="004C1667"/>
    <w:rsid w:val="004F1F31"/>
    <w:rsid w:val="00511261"/>
    <w:rsid w:val="00523658"/>
    <w:rsid w:val="006E70D6"/>
    <w:rsid w:val="00806B85"/>
    <w:rsid w:val="00891F19"/>
    <w:rsid w:val="008B7726"/>
    <w:rsid w:val="009444C7"/>
    <w:rsid w:val="009F0910"/>
    <w:rsid w:val="00B1014C"/>
    <w:rsid w:val="00B8789E"/>
    <w:rsid w:val="00B9229E"/>
    <w:rsid w:val="00C62858"/>
    <w:rsid w:val="00CD0228"/>
    <w:rsid w:val="00CE7F60"/>
    <w:rsid w:val="00D265FA"/>
    <w:rsid w:val="00D31D50"/>
    <w:rsid w:val="00D346FB"/>
    <w:rsid w:val="00D52E50"/>
    <w:rsid w:val="00DB5F56"/>
    <w:rsid w:val="00DE5010"/>
    <w:rsid w:val="00DF3965"/>
    <w:rsid w:val="00E63092"/>
    <w:rsid w:val="00E66F8B"/>
    <w:rsid w:val="00E71963"/>
    <w:rsid w:val="00EA525D"/>
    <w:rsid w:val="00ED7497"/>
    <w:rsid w:val="00EF0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66F8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E66F8B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66F8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66F8B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99"/>
    <w:rsid w:val="00E66F8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293</Words>
  <Characters>1672</Characters>
  <Application>Microsoft Office Word</Application>
  <DocSecurity>0</DocSecurity>
  <Lines>13</Lines>
  <Paragraphs>3</Paragraphs>
  <ScaleCrop>false</ScaleCrop>
  <Company>芳向电脑工作室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张芳向 Netboy</dc:creator>
  <cp:keywords/>
  <dc:description/>
  <cp:lastModifiedBy>bg</cp:lastModifiedBy>
  <cp:revision>14</cp:revision>
  <dcterms:created xsi:type="dcterms:W3CDTF">2008-09-11T17:20:00Z</dcterms:created>
  <dcterms:modified xsi:type="dcterms:W3CDTF">2017-10-24T07:32:00Z</dcterms:modified>
</cp:coreProperties>
</file>